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Hirota, Tsutomu Oshigiri, Noriyuki Iesato, Makoto Emori, Atsushi Teramoto, Yuki Shiratani, Akinobu Suzuki, Hidetomi Terai, Takaki Shimizu, Kenichiro Kakutani, Yutaro Kanda, Hiroyuki Tominaga, Ichiro Kawamura, Masayuki Ishihara, Masaaki Paku, Yohei Takahashi, Toru Funayama, Kousei Miura, Eiki Shirasawa, Hirokazu Inoue, Atsushi Kimura, Takuya Iimura, Hiroshi Moridaira, Hideaki Nakajima, Shuji Watanabe, Koji Akeda, Norihiko Takegami, Kazuo Nakanishi, Hirokatsu Sawada, Koji Matsumoto, Masahiro Funaba, Hidenori Suzuki, Haruki Funao, Takashi Hirai, Bungo Otsuki, Kazu Kobayakawa,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Shinji Tanishima, Ko Hashimoto, Chizuo Iwai, Daisuke Yamabe, Akihiko Hiyama, Shoji Seki, Yuta Goto, Masashi Miyazaki, Kazuyuki Watanabe, Toshio Nakamae, Takashi Kaito, Hiroaki Nakashima, Narihito Nagoshi, Satoshi Kato, Shiro Imagama, Kota Watanabe,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Impact of surgical treatment on patient reported outcome in patients with spinal metastases from prostate cancer.,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Segi, Hiroaki Nakashima, Sadayuki Ito, Jun Ouchida, Yuki Shiratani, Takaki Shimizu, Akinobu Suzuki, Hidetomi Terai, Kenichiro Kakutani, Yutaro Kanda, Hiroyuki Tominaga, Ichiro Kawamura, Masayuki Ishihara, Masaaki Paku, Yohei Takahashi, Masahiro Funaba, Toru Funayama, Hideaki Nakajima, Koji Akeda, Takashi Hirai, Hirokazu Inoue, Kazuo Nakanishi, Haruki Funao, Tsutomu Oshigiri, Bungo Otsuki, Kazu Kobayakawa, Shinji Tanishima, Ko Hashimoto, Takuya Iimura, Hirokatsu Sawada,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Chizuo Iwai, Daisuke Yamabe, Akihiko Hiyama, Shoji Seki, Yuta Goto, Masashi Miyazaki, Kazuyuki Watanabe, Toshio Nakamae, Takashi Kaito, Narihito Nagoshi, Satoshi Kato, Kota Watanabe, Shiro Imagama,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Effects of Palliative Surgical Treatment for Spinal Metastases on the Patient's Quality of Life With a Focus on the Segment of the Metastasis: A Prospective Multicenter Study.,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2286-2299,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Keizo Wada, Daisuke Hamada,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Robotic-assisted total knee arthroplasty: Systematic review of surgical assist robotic systems available in Japan, </w:t>
      </w:r>
      <w:r>
        <w:rPr>
          <w:rFonts w:ascii="" w:hAnsi="" w:cs="" w:eastAsia=""/>
          <w:b w:val="false"/>
          <w:i w:val="true"/>
          <w:strike w:val="false"/>
          <w:color w:val="000000"/>
          <w:sz w:val="20"/>
          <w:u w:val="single"/>
        </w:rPr>
        <w:t>Journal of Joint Surgery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90-95,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