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【重症下肢虚血治療に対するマイクロサージャリー】重症下肢虚血(Critical Limb Ischemia:CLI)治療に対するマイクロサージャリーの注意点と工夫,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膝関節開放性褥瘡に対し持続洗浄療法と筋弁により救済し得た1例, </w:t>
      </w:r>
      <w:r>
        <w:rPr>
          <w:rFonts w:ascii="" w:hAnsi="" w:cs="" w:eastAsia=""/>
          <w:b w:val="false"/>
          <w:i w:val="true"/>
          <w:strike w:val="false"/>
          <w:color w:val="000000"/>
          <w:sz w:val="20"/>
          <w:u w:val="none"/>
        </w:rPr>
        <w:t xml:space="preserve">第26回日本褥瘡学会学術集会,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Yamasaki Hiroyuki, Mayu Bando,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Kenta Ikushima,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Hiroyuki Yamasaki,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