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674-686,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2023.</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