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重度慢性歯周炎で咬合崩壊した高齢者に対して包括的歯周治療を行った一症例,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185,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