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Masakazu Shinohara, Tomohiko Maruo,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Identification of lysophosphatidic acid in serum as a factor that promotes epithelial apical junctional complex organization,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40-47,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5"/>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Hara, Aya Ichiraku, Tomoki Matsuda,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Horikawa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第15回 生物物理学会中国四国支部大会,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Nam Thanh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493-505,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CD44によるヒアルロン酸環境依存的な集団細胞運動の運動方向制御機構, </w:t>
      </w:r>
      <w:r>
        <w:rPr>
          <w:rFonts w:ascii="" w:hAnsi="" w:cs="" w:eastAsia=""/>
          <w:b w:val="false"/>
          <w:i w:val="true"/>
          <w:strike w:val="false"/>
          <w:color w:val="000000"/>
          <w:sz w:val="20"/>
          <w:u w:val="none"/>
        </w:rPr>
        <w:t xml:space="preserve">第16回日本生物物理学会 中国四国支部大会,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Keitaro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Directional control of Collective Cell Migration by CD44 Dependent on Hyaluronic Acid, </w:t>
      </w:r>
      <w:r>
        <w:rPr>
          <w:rFonts w:ascii="" w:hAnsi="" w:cs="" w:eastAsia=""/>
          <w:b w:val="false"/>
          <w:i w:val="true"/>
          <w:strike w:val="false"/>
          <w:color w:val="000000"/>
          <w:sz w:val="20"/>
          <w:u w:val="none"/>
        </w:rPr>
        <w:t xml:space="preserve">Joint Meeting of JSCB 77th and JSDB 58th, </w:t>
      </w:r>
      <w:r>
        <w:rPr>
          <w:rFonts w:ascii="" w:hAnsi="" w:cs="" w:eastAsia=""/>
          <w:b w:val="false"/>
          <w:i w:val="false"/>
          <w:strike w:val="false"/>
          <w:color w:val="000000"/>
          <w:sz w:val="20"/>
          <w:u w:val="none"/>
        </w:rPr>
        <w:t>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