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883-893,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2495, 2022.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31-41, 2023.</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110-114,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34-45,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(8), </w:t>
      </w:r>
      <w:r>
        <w:rPr>
          <w:rFonts w:ascii="" w:hAnsi="" w:cs="" w:eastAsia=""/>
          <w:b w:val="false"/>
          <w:i w:val="false"/>
          <w:strike w:val="false"/>
          <w:color w:val="000000"/>
          <w:sz w:val="20"/>
          <w:u w:val="none"/>
        </w:rPr>
        <w:t>7394, 2023.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9-14,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Matsumoto Chihaya,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73-80, 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1496-1499,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歯・口腔の健康と予防にかかわる人間と社会の仕組み,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Yasuhiro Mouri, Ayu Takai, Mariko Seyama, Mana Mekata,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1671-1679,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高齢者医療専門病院における高齢入院患者の有する残根歯の現状と年次推移に関する報告,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15-21,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Sahara, 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decline in oral function and medical and dental expenditures in the latter-stage older adult,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problematic eating behavior and oral function among kindergarten children,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Aso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motivation related to the oral condition on receiving basic periodontal therapy; A case report,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妊娠期の口腔状態と3歳児う蝕罹患の関連性,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希美, 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竹下 萌乃, 加藤 啓介,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デンタルプラークに対する分岐毛先を活用した歯ブラシの有効性の検討,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犬飼 順子 : </w:t>
      </w:r>
      <w:r>
        <w:rPr>
          <w:rFonts w:ascii="" w:hAnsi="" w:cs="" w:eastAsia=""/>
          <w:b w:val="false"/>
          <w:i w:val="false"/>
          <w:strike w:val="false"/>
          <w:color w:val="000000"/>
          <w:sz w:val="20"/>
          <w:u w:val="none"/>
        </w:rPr>
        <w:t xml:space="preserve">歯肉炎症の評価指標としての歯肉血流速度の検討,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幼児の食行動の問題と食に対する保護者の意識,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1歳6か月児歯科健康診査時のう蝕罹患型判定基準 保健所設置市を対象とした全国調査, </w:t>
      </w:r>
      <w:r>
        <w:rPr>
          <w:rFonts w:ascii="" w:hAnsi="" w:cs="" w:eastAsia=""/>
          <w:b w:val="false"/>
          <w:i w:val="true"/>
          <w:strike w:val="false"/>
          <w:color w:val="000000"/>
          <w:sz w:val="20"/>
          <w:u w:val="none"/>
        </w:rPr>
        <w:t xml:space="preserve">第9回社会歯科学会総会・学術大会,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仁木 希美,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3歳児の多数歯う蝕の罹患に関連するリスク要因,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高齢者の口腔環境と認知症発症との関連性,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Tomoya Koda,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Masayuki Domichi, Akiko Suganuma, Shinji Fujiwara,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Subjective assessment of sensory function and oral function decline in older adults,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e0326788, 2025.</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Alyssin Modulates Inflammatory Mediators Expression in Interleukin-1β-Stimulated Human Periodontal Ligament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Nozomi Niki,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Ichika Sone,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Moeno Takeshita, Keisuke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crossover clinical trial investigating 16-branched filament toothbrush effects on dental plaque removal,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e70192,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母親の妊娠期の歯周状態と児の3歳時におけるう蝕罹患との関連,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000-000, 2026年.</w:t>
      </w:r>
    </w:p>
    <w:p>
      <w:pPr>
        <w:numPr>
          <w:numId w:val="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Niki Hitomi,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Sone Ichika,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Takeshita Moneno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Keisuke : </w:t>
      </w:r>
      <w:r>
        <w:rPr>
          <w:rFonts w:ascii="" w:hAnsi="" w:cs="" w:eastAsia=""/>
          <w:b w:val="false"/>
          <w:i w:val="false"/>
          <w:strike w:val="false"/>
          <w:color w:val="000000"/>
          <w:sz w:val="20"/>
          <w:u w:val="none"/>
        </w:rPr>
        <w:t xml:space="preserve">Effect of toothbrush with branched filament ends on dental plaque, </w:t>
      </w:r>
      <w:r>
        <w:rPr>
          <w:rFonts w:ascii="" w:hAnsi="" w:cs="" w:eastAsia=""/>
          <w:b w:val="false"/>
          <w:i w:val="true"/>
          <w:strike w:val="false"/>
          <w:color w:val="000000"/>
          <w:sz w:val="20"/>
          <w:u w:val="none"/>
        </w:rPr>
        <w:t xml:space="preserve">103th General session and exhibition of the IADR,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Literacy and Social Frailty, </w:t>
      </w:r>
      <w:r>
        <w:rPr>
          <w:rFonts w:ascii="" w:hAnsi="" w:cs="" w:eastAsia=""/>
          <w:b w:val="false"/>
          <w:i w:val="true"/>
          <w:strike w:val="false"/>
          <w:color w:val="000000"/>
          <w:sz w:val="20"/>
          <w:u w:val="none"/>
        </w:rPr>
        <w:t xml:space="preserve">International Association for Dental Research(IADR),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&amp; Exhibition,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Rieski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units and dietary inflammatory index among older adults: a cross-sectional study, </w:t>
      </w:r>
      <w:r>
        <w:rPr>
          <w:rFonts w:ascii="" w:hAnsi="" w:cs="" w:eastAsia=""/>
          <w:b w:val="false"/>
          <w:i w:val="true"/>
          <w:strike w:val="false"/>
          <w:color w:val="000000"/>
          <w:sz w:val="20"/>
          <w:u w:val="none"/>
        </w:rPr>
        <w:t xml:space="preserve">Asian Academy of Preventive Dentistry, </w:t>
      </w:r>
      <w:r>
        <w:rPr>
          <w:rFonts w:ascii="" w:hAnsi="" w:cs="" w:eastAsia=""/>
          <w:b w:val="false"/>
          <w:i w:val="false"/>
          <w:strike w:val="false"/>
          <w:color w:val="000000"/>
          <w:sz w:val="20"/>
          <w:u w:val="none"/>
        </w:rPr>
        <w:t>Bali, 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口腔癌局所における口腔細菌叢と臨床分離株としてのFusobacterium単離と病原性の検討,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Arini S. Dara,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curcumins role in alleviating trigeminal neuropathic pain,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在宅高齢者における新たな生きがい評価法と社会指標との関連性:通いの場タイプ別分析,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229-230,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政ヶ谷 恒暉,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山下 喜久,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サークル・バイブレーション法の歯垢除去効果と疲労感を検証するための予備的研究,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