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Sonoka Iwashimizu, Masaya Ono, Saho Mochizuki, Kenshiro Iwashita, Rina Sato, Satoshi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Toshihide Hamabe-Horiike, Yasufumi Katanasaka, Akira Murakami, Tomohiro Asakawa, Makoto Inai, Toshiyuki Kan, Maki Komiyama, Philip Hawke, Kiyoshi Mori, Yoshiki Arakawa, Koji Hasegawa, Kazuho Sakamoto, Junko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citrus flavonoid nobiletin prevents the development of doxorubicin-induced heart failure by inhibiting apoptosis,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