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226-240,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494-500,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104-105,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6"/>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671-676,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免疫プロテアソーム機能異常によりもたらされる自己炎症性疾患の病態解明に向けて,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228-233,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転写伸長制御因子とクラススイッチ,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Nam Thanh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493-505, 2025.</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慧,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of IL-10 producing CD4+ T cells and macrophages regulates tissue regeneration in influenza virus infection, </w:t>
      </w:r>
      <w:r>
        <w:rPr>
          <w:rFonts w:ascii="" w:hAnsi="" w:cs="" w:eastAsia=""/>
          <w:b w:val="false"/>
          <w:i w:val="true"/>
          <w:strike w:val="false"/>
          <w:color w:val="000000"/>
          <w:sz w:val="20"/>
          <w:u w:val="none"/>
        </w:rPr>
        <w:t xml:space="preserve">第23回 四国免疫フォーラム,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