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Renal dysfunction and heart disease: elucidating the cardiorenal relationship approaches leading to heart failure,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Heart failure in chronic kidney disease,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日本透析学会,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526-528,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Dialysis therapy, 2023 year in review, </w:t>
      </w:r>
      <w:r>
        <w:rPr>
          <w:rFonts w:ascii="" w:hAnsi="" w:cs="" w:eastAsia=""/>
          <w:b w:val="false"/>
          <w:i w:val="true"/>
          <w:strike w:val="false"/>
          <w:color w:val="000000"/>
          <w:sz w:val="20"/>
          <w:u w:val="none"/>
        </w:rPr>
        <w:t xml:space="preserve">Nihon Toseki Igakkai Zasshi,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Tamaki, Taizo Inagaki, Masanori Minato, Eriko Shibata, Rika Nishioka, Satoshi Nishioka, Yukiko Matsubara, Masamitsu Sasaki, Motoyuki Tamaki, Masaharu Tamaki,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Tamaki,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Hirofumi Tokuyama, Shu Wakino,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Kazuhiro Hasegawa, Hirofumi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今この研究が面白い! 第10章 腎臓 [尿細管代謝]尿細管エネルギー代謝の全貌,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760-765,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Masanori Tamaki,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