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小線源治療部会ガイドラインに基づく 密封小線源治療 診療・物理QAマニュアル 第2版, --- 8章 乳腺 B マルチカテーテル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RSNA2022印象記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Haji, Koji Fujita, Ryosuke Oki, Yusuke Osaki, Ryosuke Miyamoto, Hiroyuki Morino, Seiichi Nagano, Naoki Atsuta, Yuki Kanazawa,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Atsuko Arisawa, Hisashi Kawai, Yasutaka Sato, Satoshi Sakaguchi, Kenta Yagi, Tatsuto Hamatani, Tatsuo Kagimura, Hiroaki Yanagawa, Hideki Mochizuki, Manabu Doyu, Gen Sobue,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736-750,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1423-1432,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Mihoko Sasahara, Moriaki Yamanaka, Tomoki Matsushita, Takashi Abe, Maki Otomo,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Ischemic Penumbra and Prognosis in acute Cerebral Infarction Using Cerebral Blood Flow and Delay Time Derived from Multi-delay pCASL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286-292,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209-213,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138-144,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776-785,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797-804,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1279-1294,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801-819,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Shotaro Haji, Wataru Sako, Kenta Hanada, Tomoyasu Matsubara, Yusuke Osaki,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Magnetic Susceptibility and Area in the Subthalamic Nucleus Measured by QSM for Diagnosis of Progressive Supranuclear Palsy,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305-306,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53-57,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【検証-VNAによる画像管理の今日的効果】複合・実効的画像管理例 VNA×OCDBによる画像情報管理の実効性及び将来性を説く 運用3年の実績から,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28-31,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真奈,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亀井 友志,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小林 直登,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当院での類骨骨腫に対するRFAの初期経験, </w:t>
      </w:r>
      <w:r>
        <w:rPr>
          <w:rFonts w:ascii="" w:hAnsi="" w:cs="" w:eastAsia=""/>
          <w:b w:val="false"/>
          <w:i w:val="true"/>
          <w:strike w:val="false"/>
          <w:color w:val="000000"/>
          <w:sz w:val="20"/>
          <w:u w:val="none"/>
        </w:rPr>
        <w:t xml:space="preserve">第141回日本医学放射線学会 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友志,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下村 真奈, 古谷 光平, 簑手 鴻,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Visual-ICEの初期使用経験, </w:t>
      </w:r>
      <w:r>
        <w:rPr>
          <w:rFonts w:ascii="" w:hAnsi="" w:cs="" w:eastAsia=""/>
          <w:b w:val="false"/>
          <w:i w:val="true"/>
          <w:strike w:val="false"/>
          <w:color w:val="000000"/>
          <w:sz w:val="20"/>
          <w:u w:val="none"/>
        </w:rPr>
        <w:t xml:space="preserve">第53回 徳島IVR研究会,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林 里恵,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鼻背部の多発性紅色結節を呈した血管肉腫の1例, </w:t>
      </w:r>
      <w:r>
        <w:rPr>
          <w:rFonts w:ascii="" w:hAnsi="" w:cs="" w:eastAsia=""/>
          <w:b w:val="false"/>
          <w:i w:val="true"/>
          <w:strike w:val="false"/>
          <w:color w:val="000000"/>
          <w:sz w:val="20"/>
          <w:u w:val="none"/>
        </w:rPr>
        <w:t xml:space="preserve">第161日本皮膚科学会徳島地方会,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MRI findings in two cases of seromucinous borderline tumors coexisting with carcinoma in endometriotic cysts: Case reports and literature review.,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e16368,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Yo Taniguchi, Masahiro Takizawa,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633-643, 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