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Shutaro Fujimoto, Masaru Tominaga,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Surgical Training for Full Endoscopic Surgery Using 3D-Printed Models.,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Yoshimura, </w:t>
      </w: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Yuka Shimasaki, Daisuke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clinically important difference in the Japanese Orthopedic Association Score and shoulder 36 after arthroscopic rotator cuff repair in a Japanese population: A retrospective cohort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Michihiro Takai,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avulsion fracture of the ischial tuberosity in an adolescent athlete treated by suture anchor fixation using the suture bridge technique: a case report.,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formation of subcoracoid bursa effusion on magnetic resonance imaging studies.,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e340-e347,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Masahiko Okada, Mitsuhiro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safety and effectiveness of romosozumab following daily or weekly administration of teriparatide in primary and secondary osteoporosis.,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Kanda, Kozaburo Mizutani, Masashi Kumon,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Pitfalls in the Diagnosis and Treatment of Low Back Pain in an Elite Para-athlete Successfully Treated by Transforaminal Full-endoscopic Discectomy with Thermal Annuloplasty: A Case Reports.,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bilateral total knee arthroplasty has higher risk of asymptomatic deep vein thrombosis in patients in their 80s compared with unilateral total knee arthroplasty: a propensity score-matched comparative study across different age groups,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bilateral total knee arthroplasty has higher risk of asymptomatic deep vein thrombosis in patients in their 80s compared with unilateral total knee arthroplasty: a propensity score-matched comparative study across different age groups.,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添田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【腰痛のpain generatorを見究める】トップアスリートの慢性腰痛とType 1 Modic変化の分布(原著論文),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Yukako Nishiyama, Gakuto Yoshida, Kaori Momota, Michihiro Takai,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soft-tissue interposition in proximal tibial physeal injury based on fast field echo resembling a computed tomography using restricted echo-spacing (FRACTURE): a case report,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1319-1325,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none"/>
        </w:rPr>
        <w:t>Jun Kawamata, Shoji Fukuta, 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curve for intraoperative computer navigation in reverse total shoulder arthroplasty by the cumulative sum method, </w:t>
      </w:r>
      <w:r>
        <w:rPr>
          <w:rFonts w:ascii="" w:hAnsi="" w:cs="" w:eastAsia=""/>
          <w:b w:val="false"/>
          <w:i w:val="true"/>
          <w:strike w:val="false"/>
          <w:color w:val="000000"/>
          <w:sz w:val="20"/>
          <w:u w:val="single"/>
        </w:rPr>
        <w:t>Seminars in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 Kohei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stump change as a risk factor for structural failure of arthroscopic rotator cuff repair,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1118-1123,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