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「脳震盪/いつから運動させるか」新版 マイナーエマージェンシー いざというとき慌てない!!針が刺さった，餅がつまった，動物に咬まれたなど慣れない症候に対応するための自分がやるべきこと・専門医へのつなぎ方, 羊土社,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「脳震盪/いつから運動させるか」新版 マイナーエマージェンシー いざというとき慌てない!!針が刺さった，餅がつまった，動物に咬まれたなど慣れない症候に対応するための自分がやるべきこと・専門医へのつなぎ方, 羊土社,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