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2024.</w:t>
      </w:r>
    </w:p>
    <w:p>
      <w:pPr>
        <w:numPr>
          <w:numId w:val="6"/>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当科における遺伝性乳がん卵巣がん症候群の管理の現状, </w:t>
      </w:r>
      <w:r>
        <w:rPr>
          <w:rFonts w:ascii="" w:hAnsi="" w:cs="" w:eastAsia=""/>
          <w:b w:val="false"/>
          <w:i w:val="true"/>
          <w:strike w:val="false"/>
          <w:color w:val="000000"/>
          <w:sz w:val="20"/>
          <w:u w:val="none"/>
        </w:rPr>
        <w:t xml:space="preserve">第30回日本産婦人科乳腺医学会,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検診マンモグラフィ読影認定医取得に向けて,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