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116180, 2024.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116580, 2024.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3358-3369,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31642, 2024.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