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Ajeng Raras Enggardipta, Minato Akizuki, Mika Bando, Yuji Inagaki, Kazumitsu Sekine, Kenichi Hamada, Tomoko Sumitomo, Kanta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Arya Adiningrat, Ikhsan Maulana, Ghitha Ahmad Fadhlurrahman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bacteria from asymptomatic necrotic tooth can regulate the microbiome homeostasis,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107791, 2025.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簡易PCR 装置を用いた歯周病原細菌red complex 迅速検出システムの有用性の検討, </w:t>
      </w:r>
      <w:r>
        <w:rPr>
          <w:rFonts w:ascii="" w:hAnsi="" w:cs="" w:eastAsia=""/>
          <w:b w:val="false"/>
          <w:i w:val="true"/>
          <w:strike w:val="false"/>
          <w:color w:val="000000"/>
          <w:sz w:val="20"/>
          <w:u w:val="none"/>
        </w:rPr>
        <w:t xml:space="preserve">日本臨床歯周病学会会誌,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Ajeng Raras Enggardipta, Minato Akizuki, Kazumitsu Sekine, Kenichi Hamada, 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Matsuda,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Motozo Yamashita, Joichiro Hayashi, Satoshi Sekino, Akiko Yamashita, Keiko Yamashita, Atsutoshi Yoshimura, Tsutomu Sugaya, Shogo Takashiba, Yoichiro Taguchi, Eiji Nemoto, Tomoaki Shintani, Tsuyoshi Miyagawa,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A cross-sectional interventional study on the effects of periodontal treatment on periodontal inflamed surface area and masticatory efficiency values according to the 2018 periodontal status classification,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1094, 2025.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下顎前歯部の重度骨欠損部位に対して歯周組織再生療法と矯正治療を行った一症例,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false"/>
          <w:i w:val="false"/>
          <w:strike w:val="false"/>
          <w:color w:val="000000"/>
          <w:sz w:val="20"/>
          <w:u w:val="none"/>
        </w:rPr>
        <w:t>187,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歯周組織再生剤「リグロス」で目指す歯の保存 ーエンド-ペリオ病変への応用ー, </w:t>
      </w:r>
      <w:r>
        <w:rPr>
          <w:rFonts w:ascii="" w:hAnsi="" w:cs="" w:eastAsia=""/>
          <w:b w:val="false"/>
          <w:i w:val="true"/>
          <w:strike w:val="false"/>
          <w:color w:val="000000"/>
          <w:sz w:val="20"/>
          <w:u w:val="none"/>
        </w:rPr>
        <w:t xml:space="preserve">日本歯科保存学会2025年度春季学術大会(第162回)プログラムおよび講演抄録集, </w:t>
      </w:r>
      <w:r>
        <w:rPr>
          <w:rFonts w:ascii="" w:hAnsi="" w:cs="" w:eastAsia=""/>
          <w:b w:val="false"/>
          <w:i w:val="false"/>
          <w:strike w:val="false"/>
          <w:color w:val="000000"/>
          <w:sz w:val="20"/>
          <w:u w:val="none"/>
        </w:rPr>
        <w:t>63-64,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