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120-124,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シェーグレン症候群の唾液腺組織における脂肪浸潤の意義の解明 -唾液を用いたリピドミクス解析を中心に-,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糖尿病がある方を対象とした口腔機能と口腔体操に関する研究の文献検討, </w:t>
      </w:r>
      <w:r>
        <w:rPr>
          <w:rFonts w:ascii="" w:hAnsi="" w:cs="" w:eastAsia=""/>
          <w:b w:val="false"/>
          <w:i w:val="true"/>
          <w:strike w:val="false"/>
          <w:color w:val="000000"/>
          <w:sz w:val="20"/>
          <w:u w:val="none"/>
        </w:rPr>
        <w:t xml:space="preserve">第68回日本糖尿病学会年次学術集会,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S288,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