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1496-1499,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Tomoya Koda,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Masayuki Domichi, Akiko Suganuma, Shinji Fujiwara,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Subjective assessment of sensory function and oral function decline in older adults,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e0326788,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Literacy and Social Frailty, </w:t>
      </w:r>
      <w:r>
        <w:rPr>
          <w:rFonts w:ascii="" w:hAnsi="" w:cs="" w:eastAsia=""/>
          <w:b w:val="false"/>
          <w:i w:val="true"/>
          <w:strike w:val="false"/>
          <w:color w:val="000000"/>
          <w:sz w:val="20"/>
          <w:u w:val="none"/>
        </w:rPr>
        <w:t xml:space="preserve">International Association for Dental Research(IADR),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在宅高齢者における新たな生きがい評価法と社会指標との関連性:通いの場タイプ別分析,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229-230,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