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(8), </w:t>
      </w:r>
      <w:r>
        <w:rPr>
          <w:rFonts w:ascii="" w:hAnsi="" w:cs="" w:eastAsia=""/>
          <w:b w:val="false"/>
          <w:i w:val="false"/>
          <w:strike w:val="false"/>
          <w:color w:val="000000"/>
          <w:sz w:val="20"/>
          <w:u w:val="none"/>
        </w:rPr>
        <w:t>7394, 2023.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&amp; Exhibition,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口腔癌局所における口腔細菌叢と臨床分離株としてのFusobacterium単離と病原性の検討,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