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Yasuhiro Mouri, Ayu Takai, Mariko Seyama, Mana Mekata,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Alyssin Modulates Inflammatory Mediators Expression in Interleukin-1β-Stimulated Human Periodontal Ligament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