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希美, 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竹下 萌乃, 加藤 啓介,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デンタルプラークに対する分岐毛先を活用した歯ブラシの有効性の検討,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Niki,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Ichika Sone,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Moeno Takeshita, Keisuke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crossover clinical trial investigating 16-branched filament toothbrush effects on dental plaque removal,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e70192,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