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充, 高田 潤一,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竹内 靖博, 茶木 修, 中村 幸男, 荻野 浩, 三浦 雅一, 元木 由美, 森脇 好乃美, 森脇 笙,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吉村 典子 : </w:t>
      </w:r>
      <w:r>
        <w:rPr>
          <w:rFonts w:ascii="" w:hAnsi="" w:cs="" w:eastAsia=""/>
          <w:b w:val="false"/>
          <w:i w:val="false"/>
          <w:strike w:val="false"/>
          <w:color w:val="000000"/>
          <w:sz w:val="20"/>
          <w:u w:val="none"/>
        </w:rPr>
        <w:t xml:space="preserve">骨代謝マーカーハンドブック,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Dによる小胞体膜微小環境の制御機構解明,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CLN10変異体のもつ凝集抑止機能と疾患の関連性, </w:t>
      </w:r>
      <w:r>
        <w:rPr>
          <w:rFonts w:ascii="" w:hAnsi="" w:cs="" w:eastAsia=""/>
          <w:b w:val="false"/>
          <w:i w:val="true"/>
          <w:strike w:val="false"/>
          <w:color w:val="000000"/>
          <w:sz w:val="20"/>
          <w:u w:val="none"/>
        </w:rPr>
        <w:t xml:space="preserve">超異分野学会 大阪大会2022,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108044, 2024.</w:t>
      </w:r>
    </w:p>
    <w:p>
      <w:pPr>
        <w:numPr>
          <w:numId w:val="6"/>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none"/>
        </w:rPr>
        <w:t xml:space="preserve">The 20th annual WORLDSymposium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Dは小胞体内腔でCLN6の凝集抑制能を支える, </w:t>
      </w:r>
      <w:r>
        <w:rPr>
          <w:rFonts w:ascii="" w:hAnsi="" w:cs="" w:eastAsia=""/>
          <w:b w:val="false"/>
          <w:i w:val="true"/>
          <w:strike w:val="false"/>
          <w:color w:val="000000"/>
          <w:sz w:val="20"/>
          <w:u w:val="none"/>
        </w:rPr>
        <w:t xml:space="preserve">第21回四国免疫フォーラム,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CLN10は変異により細胞内局在が変わる, </w:t>
      </w:r>
      <w:r>
        <w:rPr>
          <w:rFonts w:ascii="" w:hAnsi="" w:cs="" w:eastAsia=""/>
          <w:b w:val="false"/>
          <w:i w:val="true"/>
          <w:strike w:val="false"/>
          <w:color w:val="000000"/>
          <w:sz w:val="20"/>
          <w:u w:val="none"/>
        </w:rPr>
        <w:t xml:space="preserve">超異分野学会 大阪大会2023,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プロカテプシンDは小胞体で機能していた,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AlphaFold2を用いたCLN6の分子内相互作用解析,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108539, 2024.</w:t>
      </w:r>
    </w:p>
    <w:p>
      <w:pPr>
        <w:numPr>
          <w:numId w:val="7"/>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pathological association between neuronal ceroid lipofuscinosis type 10 and loss of anti-aggregate activity of pro-cathepsin D, </w:t>
      </w:r>
      <w:r>
        <w:rPr>
          <w:rFonts w:ascii="" w:hAnsi="" w:cs="" w:eastAsia=""/>
          <w:b w:val="false"/>
          <w:i w:val="true"/>
          <w:strike w:val="false"/>
          <w:color w:val="000000"/>
          <w:sz w:val="20"/>
          <w:u w:val="none"/>
        </w:rPr>
        <w:t xml:space="preserve">THE 21st ANNUAL WORLDSymposium 2025,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D前駆体は小胞体膜分子CLN6と協働して蛋白質凝集を抑制する,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Dは凝集体形成を抑制する,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 佑佳,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AlphaFold2を用いたCLN6病の要因の探求,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陽花,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神経セロイドリポフスチン症の新規発症機構の提示, </w:t>
      </w:r>
      <w:r>
        <w:rPr>
          <w:rFonts w:ascii="" w:hAnsi="" w:cs="" w:eastAsia=""/>
          <w:b w:val="false"/>
          <w:i w:val="true"/>
          <w:strike w:val="false"/>
          <w:color w:val="000000"/>
          <w:sz w:val="20"/>
          <w:u w:val="none"/>
        </w:rPr>
        <w:t xml:space="preserve">第23回四国免疫フォーラム,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