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1168-1183,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6"/>
        </w:numPr>
        <w:autoSpaceDE w:val="off"/>
        <w:autoSpaceDN w:val="off"/>
        <w:spacing w:line="-240" w:lineRule="auto"/>
        <w:ind w:left="30"/>
      </w:pPr>
      <w:r>
        <w:rPr>
          <w:rFonts w:ascii="" w:hAnsi="" w:cs="" w:eastAsia=""/>
          <w:b w:val="true"/>
          <w:i w:val="false"/>
          <w:strike w:val="false"/>
          <w:color w:val="000000"/>
          <w:sz w:val="20"/>
          <w:u w:val="none"/>
        </w:rPr>
        <w:t>Hideo Watanabe, Takahisa Inoue, Lichit Miyamoto, Yoshito Ono, Kinya Matsumoto, Masanori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intestinal microbiota and biochemical parameters in patients with inflammatory bowel disease and irritable bowel syndrome induced by the prolonged addition of soluble fibers to usual drug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加乃, 泉 奈那,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SGLT2阻害剤ダパグリフロジンが肝糖産生に与える影響,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