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5"/>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Mohamed,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Armia Sherif,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Mazaya Najmina,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Yokota, Sari Usuda, Tomoya Nishimura, Rintaro Takahashi, Yusuke Taoka,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Masaru Tanaka, Kazuaki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Shin Yusa : </w:t>
      </w:r>
      <w:r>
        <w:rPr>
          <w:rFonts w:ascii="" w:hAnsi="" w:cs="" w:eastAsia=""/>
          <w:b w:val="false"/>
          <w:i w:val="false"/>
          <w:strike w:val="false"/>
          <w:color w:val="000000"/>
          <w:sz w:val="20"/>
          <w:u w:val="none"/>
        </w:rPr>
        <w:t xml:space="preserve">Self-Assembly and Drug Encapsulation Properties of Biocompatible Amphiphilic Diblock Copolymers,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筋肉内投与されたmRNA/LNPによる抗スパイク抗体誘導に抗PEG抗体が及ぼす影響,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Panyue Wen, Anjaneyulu Dirisala, Haochen Guo, Xueying Liu,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Hiroaki Kinoh, Takahisa Anada, Masaru Tanaka, Kazunori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Li : </w:t>
      </w:r>
      <w:r>
        <w:rPr>
          <w:rFonts w:ascii="" w:hAnsi="" w:cs="" w:eastAsia=""/>
          <w:b w:val="false"/>
          <w:i w:val="false"/>
          <w:strike w:val="false"/>
          <w:color w:val="000000"/>
          <w:sz w:val="20"/>
          <w:u w:val="none"/>
        </w:rPr>
        <w:t xml:space="preserve">Engineering durable antioxidative nanoreactors as synthetic organelles for autoregulatory cellular protection against oxidative stress,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false"/>
          <w:strike w:val="false"/>
          <w:color w:val="000000"/>
          <w:sz w:val="20"/>
          <w:u w:val="none"/>
        </w:rPr>
        <w:t>113683, 2025.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Anada, Michiharu Kawahara, Taisei Shimada, Ryotaro Kuroda, Hidenori Okamura, Daiki Setoyama, Fumi Nagatsugi, Yuya Kunisaki, Eriko Kage-Nakadai, </w:t>
      </w:r>
      <w:r>
        <w:rPr>
          <w:rFonts w:ascii="" w:hAnsi="" w:cs="" w:eastAsia=""/>
          <w:b w:val="true"/>
          <w:i w:val="false"/>
          <w:strike w:val="false"/>
          <w:color w:val="000000"/>
          <w:sz w:val="20"/>
          <w:u w:val="single"/>
        </w:rPr>
        <w:t>Shingo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Tanaka : </w:t>
      </w:r>
      <w:r>
        <w:rPr>
          <w:rFonts w:ascii="" w:hAnsi="" w:cs="" w:eastAsia=""/>
          <w:b w:val="false"/>
          <w:i w:val="false"/>
          <w:strike w:val="false"/>
          <w:color w:val="000000"/>
          <w:sz w:val="20"/>
          <w:u w:val="none"/>
        </w:rPr>
        <w:t xml:space="preserve">A Nucleic Acid Prodrug That Activates Mitochondrial Respiration, Promotes Stress Resilience, and Prolongs Lifespan,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22161-22175,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