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食品成分表示の活用,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栄養成分表示の活用, 医歯薬出版株式会社,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小麦粉由来アラビノキシランの大腸菌付着抑制効果について∼非生物素材表面へのF65の影響∼,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栄養成分表示の活用, 医歯薬出版株式会社,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小麦粉由来アラビノキシランの大腸菌付着抑制効果, </w:t>
      </w:r>
      <w:r>
        <w:rPr>
          <w:rFonts w:ascii="" w:hAnsi="" w:cs="" w:eastAsia=""/>
          <w:b w:val="false"/>
          <w:i w:val="true"/>
          <w:strike w:val="false"/>
          <w:color w:val="000000"/>
          <w:sz w:val="20"/>
          <w:u w:val="none"/>
        </w:rPr>
        <w:t xml:space="preserve">細胞の吸着制御技術, </w:t>
      </w:r>
      <w:r>
        <w:rPr>
          <w:rFonts w:ascii="" w:hAnsi="" w:cs="" w:eastAsia=""/>
          <w:b w:val="false"/>
          <w:i w:val="false"/>
          <w:strike w:val="false"/>
          <w:color w:val="000000"/>
          <w:sz w:val="20"/>
          <w:u w:val="none"/>
        </w:rPr>
        <w:t>185-193,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小麦粉由来の大腸菌付着抑制成分を利用した細菌を付着させない新しい食中毒予防, </w:t>
      </w:r>
      <w:r>
        <w:rPr>
          <w:rFonts w:ascii="" w:hAnsi="" w:cs="" w:eastAsia=""/>
          <w:b w:val="false"/>
          <w:i w:val="true"/>
          <w:strike w:val="false"/>
          <w:color w:val="000000"/>
          <w:sz w:val="20"/>
          <w:u w:val="none"/>
        </w:rPr>
        <w:t xml:space="preserve">第45回日本食品微生物学会学術総会,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田中 由貴子, 小野 聖実, 岩﨑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地域在住高齢者におけるエクオール産生能に基づく食生活，認知および身体特性の検討,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パネルディスカッション「次世代のリーダーが育つために∼必要な支援とは∼」, </w:t>
      </w:r>
      <w:r>
        <w:rPr>
          <w:rFonts w:ascii="" w:hAnsi="" w:cs="" w:eastAsia=""/>
          <w:b w:val="false"/>
          <w:i w:val="true"/>
          <w:strike w:val="false"/>
          <w:color w:val="000000"/>
          <w:sz w:val="20"/>
          <w:u w:val="none"/>
        </w:rPr>
        <w:t xml:space="preserve">活躍する女性リーダーをはぐくむ四国・徳島大学に!∼徳島大学女性リーダー育成プロジェクト∼,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