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自身の栄養研究を振り返って, </w:t>
      </w:r>
      <w:r>
        <w:rPr>
          <w:rFonts w:ascii="" w:hAnsi="" w:cs="" w:eastAsia=""/>
          <w:b w:val="false"/>
          <w:i w:val="true"/>
          <w:strike w:val="false"/>
          <w:color w:val="000000"/>
          <w:sz w:val="20"/>
          <w:u w:val="none"/>
        </w:rPr>
        <w:t xml:space="preserve">栄養-Trends of Nutrition,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95-97,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栄養投与量と栄養評価,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臨床に必要な基礎知識,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栄養アセスメントとケアプラン,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栄養補給法,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