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モーズレイ式神経性やせ症治療(MANTRA)ワークショップ, </w:t>
      </w:r>
      <w:r>
        <w:rPr>
          <w:rFonts w:ascii="" w:hAnsi="" w:cs="" w:eastAsia=""/>
          <w:b w:val="false"/>
          <w:i w:val="true"/>
          <w:strike w:val="false"/>
          <w:color w:val="000000"/>
          <w:sz w:val="20"/>
          <w:u w:val="none"/>
        </w:rPr>
        <w:t xml:space="preserve">第121回日本精神神経学会学術総会,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