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学校における養護活動の展開 第14章 保健教育ー保健室における個別指導や日常生活での指導ー, ふくろう出版,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公衆衛生看護活動Ⅱ 第2章 学校保健を支える行政体系と法体系, 医歯薬出版株式会社,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小学生の保護者における子どもの視力に配慮した情報端末機器使用時の声かけの実態と関連要因,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谷本 公重 : </w:t>
      </w:r>
      <w:r>
        <w:rPr>
          <w:rFonts w:ascii="" w:hAnsi="" w:cs="" w:eastAsia=""/>
          <w:b w:val="false"/>
          <w:i w:val="false"/>
          <w:strike w:val="false"/>
          <w:color w:val="000000"/>
          <w:sz w:val="20"/>
          <w:u w:val="none"/>
        </w:rPr>
        <w:t xml:space="preserve">A Study of Morning Health Checks in Japanese Schools - Assessing the benefits and burdens for students -, </w:t>
      </w:r>
      <w:r>
        <w:rPr>
          <w:rFonts w:ascii="" w:hAnsi="" w:cs="" w:eastAsia=""/>
          <w:b w:val="false"/>
          <w:i w:val="true"/>
          <w:strike w:val="false"/>
          <w:color w:val="000000"/>
          <w:sz w:val="20"/>
          <w:u w:val="none"/>
        </w:rPr>
        <w:t xml:space="preserve">Global Health Recalibration 2024 Conference hosted by Chiang Mai University,(4-6 September 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特別支援学校で医療的ケアを実施する教員の看護師との連携に関する意識, </w:t>
      </w:r>
      <w:r>
        <w:rPr>
          <w:rFonts w:ascii="" w:hAnsi="" w:cs="" w:eastAsia=""/>
          <w:b w:val="false"/>
          <w:i w:val="true"/>
          <w:strike w:val="false"/>
          <w:color w:val="000000"/>
          <w:sz w:val="20"/>
          <w:u w:val="none"/>
        </w:rPr>
        <w:t xml:space="preserve">日本看護研究学会第50回学術集会抄録集,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樫原 彩花,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三好 唯,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大学生における保健室のアクセシビリティに関する意識の実態, </w:t>
      </w:r>
      <w:r>
        <w:rPr>
          <w:rFonts w:ascii="" w:hAnsi="" w:cs="" w:eastAsia=""/>
          <w:b w:val="false"/>
          <w:i w:val="true"/>
          <w:strike w:val="false"/>
          <w:color w:val="000000"/>
          <w:sz w:val="20"/>
          <w:u w:val="none"/>
        </w:rPr>
        <w:t xml:space="preserve">一般社団法人日本学校保健学会 第 70 回学術大会 講 演 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小学校6年生への喫煙防止教育による ヘルスリテラシーの向上に関する要因分析, </w:t>
      </w:r>
      <w:r>
        <w:rPr>
          <w:rFonts w:ascii="" w:hAnsi="" w:cs="" w:eastAsia=""/>
          <w:b w:val="false"/>
          <w:i w:val="true"/>
          <w:strike w:val="false"/>
          <w:color w:val="000000"/>
          <w:sz w:val="20"/>
          <w:u w:val="none"/>
        </w:rPr>
        <w:t xml:space="preserve">一般社団法人日本学校保健学会 第 70 回学術大会 講 演 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加賀谷 珠貴, 成相 さやか, 遠藤 優子,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子ども食堂の実態と課題に関する文献検討, </w:t>
      </w:r>
      <w:r>
        <w:rPr>
          <w:rFonts w:ascii="" w:hAnsi="" w:cs="" w:eastAsia=""/>
          <w:b w:val="false"/>
          <w:i w:val="true"/>
          <w:strike w:val="false"/>
          <w:color w:val="000000"/>
          <w:sz w:val="20"/>
          <w:u w:val="none"/>
        </w:rPr>
        <w:t xml:space="preserve">小児保健 とくしま,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Fumiyo Kagaya, HEISHIMA Honoka, MIHARA Ririko, </w:t>
      </w:r>
      <w:r>
        <w:rPr>
          <w:rFonts w:ascii="" w:hAnsi="" w:cs="" w:eastAsia=""/>
          <w:b w:val="true"/>
          <w:i w:val="false"/>
          <w:strike w:val="false"/>
          <w:color w:val="000000"/>
          <w:sz w:val="20"/>
          <w:u w:val="single"/>
        </w:rPr>
        <w:t>Daisuke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Chiyoko Katoh : </w:t>
      </w:r>
      <w:r>
        <w:rPr>
          <w:rFonts w:ascii="" w:hAnsi="" w:cs="" w:eastAsia=""/>
          <w:b w:val="false"/>
          <w:i w:val="false"/>
          <w:strike w:val="false"/>
          <w:color w:val="000000"/>
          <w:sz w:val="20"/>
          <w:u w:val="none"/>
        </w:rPr>
        <w:t xml:space="preserve">Effectiveness of Health Literacy Education through Smoking Prevention Education for Elementary School Students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NAKASHIMA Kotone, TADA Saki, NAGAE Yuzuki, Chiyoko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Japanese Junior High Students Perception Before and After Smoking Prevention Education,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徳地 暢子, 谷本 公重</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西岡 伸紀 : </w:t>
      </w:r>
      <w:r>
        <w:rPr>
          <w:rFonts w:ascii="" w:hAnsi="" w:cs="" w:eastAsia=""/>
          <w:b w:val="false"/>
          <w:i w:val="false"/>
          <w:strike w:val="false"/>
          <w:color w:val="000000"/>
          <w:sz w:val="20"/>
          <w:u w:val="none"/>
        </w:rPr>
        <w:t xml:space="preserve">The Current Situation and Significance of Group Health Education in Utilizing Health Check Results,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KASHIHARA Ayaka,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Fumiyo Kagaya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Perception of School health Room Accessibility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 Kana,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Conditions and Challenges of Medical Care in Special Needs Education School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