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true"/>
          <w:strike w:val="false"/>
          <w:color w:val="000000"/>
          <w:sz w:val="20"/>
          <w:u w:val="none"/>
        </w:rPr>
        <w:t xml:space="preserve">臨床スポーツ医学 スポーツ医学における画像診断 小児の被曝低減を目指す取り組み,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for Enhanced Tomographic Image Reconstruction in Nuclear Medicine, </w:t>
      </w:r>
      <w:r>
        <w:rPr>
          <w:rFonts w:ascii="" w:hAnsi="" w:cs="" w:eastAsia=""/>
          <w:b w:val="false"/>
          <w:i w:val="true"/>
          <w:strike w:val="false"/>
          <w:color w:val="000000"/>
          <w:sz w:val="20"/>
          <w:u w:val="none"/>
        </w:rPr>
        <w:t xml:space="preserve">TechRxiv,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Reconstruction with Dynamic ElasticNet Regularization for Nuclear Medicine Imaging,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213, 2025.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