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石川 隆司, 桑原 知巳, 今大路 治之,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幼若期のアンピシリン暴露がマウス腸内細菌叢とウェスタンダイエット摂取後のNASH発症に及ぼす影響, </w:t>
      </w:r>
      <w:r>
        <w:rPr>
          <w:rFonts w:ascii="" w:hAnsi="" w:cs="" w:eastAsia=""/>
          <w:b w:val="false"/>
          <w:i w:val="true"/>
          <w:strike w:val="false"/>
          <w:color w:val="000000"/>
          <w:sz w:val="20"/>
          <w:u w:val="none"/>
        </w:rPr>
        <w:t xml:space="preserve">第77回日本細菌学会中国四国支部総会(岡山),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市川 乃愛,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食餌誘導性NASHモデルマウスにおける幼若期の抗菌薬暴露が腸内細菌叢に及ぼす影響, </w:t>
      </w:r>
      <w:r>
        <w:rPr>
          <w:rFonts w:ascii="" w:hAnsi="" w:cs="" w:eastAsia=""/>
          <w:b w:val="false"/>
          <w:i w:val="true"/>
          <w:strike w:val="false"/>
          <w:color w:val="000000"/>
          <w:sz w:val="20"/>
          <w:u w:val="none"/>
        </w:rPr>
        <w:t xml:space="preserve">第48回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乃愛, 仲村 真樹,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NASHモデルマウス便中のBifidobacterium属菌量に対する抗菌薬暴露の影響,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日和, 中川 綾乃,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走査型電子顕微鏡を用いた病理組織スライド撮影の検討➀,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綾乃, 中野 日和,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走査型電子顕微鏡を用いた病理組織スライド撮影の検討➁,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夏海, 中川 綾乃, 中野 日和,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腎スフェロイドにおけるマーカー遺伝子の解析,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 紅葉,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細菌由来細胞外小胞(エクソソーム)抽出法の検討,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簡便な低真空走査型電子顕微鏡によるパラフィン切片の撮影 LV-SEMによる腎組織微細構造の解析, </w:t>
      </w:r>
      <w:r>
        <w:rPr>
          <w:rFonts w:ascii="" w:hAnsi="" w:cs="" w:eastAsia=""/>
          <w:b w:val="false"/>
          <w:i w:val="true"/>
          <w:strike w:val="false"/>
          <w:color w:val="000000"/>
          <w:sz w:val="20"/>
          <w:u w:val="none"/>
        </w:rPr>
        <w:t xml:space="preserve">第74 回日本医学検査学会,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