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102258, 2023.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685-686,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Tomoki Hattori,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Masahiro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Intrarenal renin-angiotensin system activation and macrophage infiltrations in pediatric chronic glomerulonephritis.,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Ryohei Sumitani, Yusaku Maeda, Hikaru Yagi, Mamiko Takahashi, Takeshi Harada, Shiro Fujii, Hirokazu Miki, Taiki Hori, Jumpei Murai, Kumiko Kagawa,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myeloid leukemia developed through myeloproliferative features during immunosuppressive therapy for juvenile idiopathic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335-339, 2024.</w:t>
      </w:r>
    </w:p>
    <w:p>
      <w:pPr>
        <w:numPr>
          <w:numId w:val="6"/>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291-302,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560,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Minato</w:t>
      </w:r>
      <w:r>
        <w:rPr>
          <w:rFonts w:ascii="" w:hAnsi="" w:cs="" w:eastAsia=""/>
          <w:b w:val="true"/>
          <w:i w:val="false"/>
          <w:strike w:val="false"/>
          <w:color w:val="000000"/>
          <w:sz w:val="20"/>
          <w:u w:val="none"/>
        </w:rPr>
        <w:t xml:space="preserve">, Sumiyo Yamaguchi, </w:t>
      </w:r>
      <w:r>
        <w:rPr>
          <w:rFonts w:ascii="" w:hAnsi="" w:cs="" w:eastAsia=""/>
          <w:b w:val="true"/>
          <w:i w:val="false"/>
          <w:strike w:val="false"/>
          <w:color w:val="000000"/>
          <w:sz w:val="20"/>
          <w:u w:val="single"/>
        </w:rPr>
        <w:t>Ikuko Shimizu</w:t>
      </w:r>
      <w:r>
        <w:rPr>
          <w:rFonts w:ascii="" w:hAnsi="" w:cs="" w:eastAsia=""/>
          <w:b w:val="true"/>
          <w:i w:val="false"/>
          <w:strike w:val="false"/>
          <w:color w:val="000000"/>
          <w:sz w:val="20"/>
          <w:u w:val="none"/>
        </w:rPr>
        <w:t>, Shinji Miyakami, Miho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NAD and Sirt1 to epigenetically suppress albuminuria.,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599-607,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102895, 2024.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are activated in a mouse model of cerebellar dystonia, </w:t>
      </w:r>
      <w:r>
        <w:rPr>
          <w:rFonts w:ascii="" w:hAnsi="" w:cs="" w:eastAsia=""/>
          <w:b w:val="false"/>
          <w:i w:val="true"/>
          <w:strike w:val="false"/>
          <w:color w:val="000000"/>
          <w:sz w:val="20"/>
          <w:u w:val="single"/>
        </w:rPr>
        <w:t>Disease Models &amp;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195-199,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Tomoki Hattori,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Niels Galjart,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blockade ameliorates the progression of glomerular injury in podocyte-specific Ctcf knockout mice.,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815-824,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 Omae, K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1462-464,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安倍 正博 : </w:t>
      </w:r>
      <w:r>
        <w:rPr>
          <w:rFonts w:ascii="" w:hAnsi="" w:cs="" w:eastAsia=""/>
          <w:b w:val="false"/>
          <w:i w:val="false"/>
          <w:strike w:val="false"/>
          <w:color w:val="000000"/>
          <w:sz w:val="20"/>
          <w:u w:val="none"/>
        </w:rPr>
        <w:t xml:space="preserve">悪性リンパ腫化学療法後に発症した侵襲性胃アスペルギルス症の1剖検例,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ROTEMによるインヒビター陽性血友病A患者のヒトFX加VIIa製剤及びrVIIa併用時の血液凝固機能評価,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274,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湯浅 麻美, 西尾 進,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肝類洞閉塞症候群/肝中心静脈閉塞症の早期診断におけるHokUS-6の有用性の検討, </w:t>
      </w:r>
      <w:r>
        <w:rPr>
          <w:rFonts w:ascii="" w:hAnsi="" w:cs="" w:eastAsia=""/>
          <w:b w:val="false"/>
          <w:i w:val="true"/>
          <w:strike w:val="false"/>
          <w:color w:val="000000"/>
          <w:sz w:val="20"/>
          <w:u w:val="none"/>
        </w:rPr>
        <w:t xml:space="preserve">第47回日本造血・免疫細胞療法学会総会,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診断に苦慮したPh陽性B-ALL/LBLの1例, </w:t>
      </w:r>
      <w:r>
        <w:rPr>
          <w:rFonts w:ascii="" w:hAnsi="" w:cs="" w:eastAsia=""/>
          <w:b w:val="false"/>
          <w:i w:val="true"/>
          <w:strike w:val="false"/>
          <w:color w:val="000000"/>
          <w:sz w:val="20"/>
          <w:u w:val="none"/>
        </w:rPr>
        <w:t xml:space="preserve">第64回日本血液学会中国四国地方会,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八木ひかる (名),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同種造血細胞移植が奏効した治療抵抗性肝脾T 細胞リンパ腫(HSTL)の2例, </w:t>
      </w:r>
      <w:r>
        <w:rPr>
          <w:rFonts w:ascii="" w:hAnsi="" w:cs="" w:eastAsia=""/>
          <w:b w:val="false"/>
          <w:i w:val="true"/>
          <w:strike w:val="false"/>
          <w:color w:val="000000"/>
          <w:sz w:val="20"/>
          <w:u w:val="none"/>
        </w:rPr>
        <w:t xml:space="preserve">第47回日本造血・免疫細胞療法学会総会,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最近のジストニア手術症例の検討, </w:t>
      </w:r>
      <w:r>
        <w:rPr>
          <w:rFonts w:ascii="" w:hAnsi="" w:cs="" w:eastAsia=""/>
          <w:b w:val="false"/>
          <w:i w:val="true"/>
          <w:strike w:val="false"/>
          <w:color w:val="000000"/>
          <w:sz w:val="20"/>
          <w:u w:val="none"/>
        </w:rPr>
        <w:t xml:space="preserve">第50回徳島脳神経外科談話会,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Mizuki Yoshimoto,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Shiro Fujii,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Koichi Tsuneyama,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Masahiro Abe,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rapid and novel diagnostic technique for cardiac amyloidosis using Raman spectroscopy., </w:t>
      </w:r>
      <w:r>
        <w:rPr>
          <w:rFonts w:ascii="" w:hAnsi="" w:cs="" w:eastAsia=""/>
          <w:b w:val="false"/>
          <w:i w:val="true"/>
          <w:strike w:val="false"/>
          <w:color w:val="000000"/>
          <w:sz w:val="20"/>
          <w:u w:val="single"/>
        </w:rPr>
        <w:t>Research Square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Noriya Enomoto,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Kitazato Keiko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of periodontal bacteria influences the incidence of subarachnoid hemorrhage, </w:t>
      </w:r>
      <w:r>
        <w:rPr>
          <w:rFonts w:ascii="" w:hAnsi="" w:cs="" w:eastAsia=""/>
          <w:b w:val="false"/>
          <w:i w:val="true"/>
          <w:strike w:val="false"/>
          <w:color w:val="000000"/>
          <w:sz w:val="20"/>
          <w:u w:val="none"/>
        </w:rPr>
        <w:t xml:space="preserve">Brain &amp; Brain PET 2025, </w:t>
      </w:r>
      <w:r>
        <w:rPr>
          <w:rFonts w:ascii="" w:hAnsi="" w:cs="" w:eastAsia=""/>
          <w:b w:val="false"/>
          <w:i w:val="false"/>
          <w:strike w:val="false"/>
          <w:color w:val="000000"/>
          <w:sz w:val="20"/>
          <w:u w:val="none"/>
        </w:rPr>
        <w:t>Jun.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