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single"/>
        </w:rPr>
        <w:t>JASTEC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177-192,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木村一夫『鳴潮』(徳島新聞社，2023年)書評,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在台湾山東人返郷探親の旅 : ガイドブックと旅行記の資料的価値,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91-119,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東風谷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ビールに憑かれた人びと―ラガービールと近代ドイツ社会―, </w:t>
      </w:r>
      <w:r>
        <w:rPr>
          <w:rFonts w:ascii="" w:hAnsi="" w:cs="" w:eastAsia=""/>
          <w:b w:val="false"/>
          <w:i w:val="false"/>
          <w:strike w:val="false"/>
          <w:color w:val="000000"/>
          <w:sz w:val="20"/>
          <w:u w:val="single"/>
        </w:rPr>
        <w:t>青土社</w:t>
      </w:r>
      <w:r>
        <w:rPr>
          <w:rFonts w:ascii="" w:hAnsi="" w:cs="" w:eastAsia=""/>
          <w:b w:val="false"/>
          <w:i w:val="false"/>
          <w:strike w:val="false"/>
          <w:color w:val="000000"/>
          <w:sz w:val="20"/>
          <w:u w:val="none"/>
        </w:rPr>
        <w:t>, 東京,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Joseph Thomas Milburn (ed.), (2025). Murakami Haruki and Philosophical Concepts, --- Thoughts about Haruki Murakami, Writing, and Running ---, Palgrave McMillan,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Solution for Small Programs: Reflections on Centering Support for Pre-departure Study Abroad Students Within an English for Academic Purposes Core Curriculum Two Semester Class, Routledge, Taylor &amp; Francis, 2026.</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明堂における祭祀と政治の複合――王方慶「明堂告朔議」と阮元「明堂論」を中心として, </w:t>
      </w:r>
      <w:r>
        <w:rPr>
          <w:rFonts w:ascii="" w:hAnsi="" w:cs="" w:eastAsia=""/>
          <w:b w:val="false"/>
          <w:i w:val="true"/>
          <w:strike w:val="false"/>
          <w:color w:val="000000"/>
          <w:sz w:val="20"/>
          <w:u w:val="none"/>
        </w:rPr>
        <w:t xml:space="preserve">日本儒教学会〔編〕『日本儒教学会 十周年記念論集』(汲古書院), </w:t>
      </w:r>
      <w:r>
        <w:rPr>
          <w:rFonts w:ascii="" w:hAnsi="" w:cs="" w:eastAsia=""/>
          <w:b w:val="false"/>
          <w:i w:val="false"/>
          <w:strike w:val="false"/>
          <w:color w:val="000000"/>
          <w:sz w:val="20"/>
          <w:u w:val="none"/>
        </w:rPr>
        <w:t>259-281,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Driving Sustainability Through Transformative Leadership, </w:t>
      </w:r>
      <w:r>
        <w:rPr>
          <w:rFonts w:ascii="" w:hAnsi="" w:cs="" w:eastAsia=""/>
          <w:b w:val="false"/>
          <w:i w:val="true"/>
          <w:strike w:val="false"/>
          <w:color w:val="000000"/>
          <w:sz w:val="20"/>
          <w:u w:val="none"/>
        </w:rPr>
        <w:t xml:space="preserve">International Scientific and Practical Conference - Career Guidance: A Key to Sustainable Development (Uzbekistan),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「フランス革命後の中央美術館による絵画の送付と地方の反応」(口頭発表), </w:t>
      </w:r>
      <w:r>
        <w:rPr>
          <w:rFonts w:ascii="" w:hAnsi="" w:cs="" w:eastAsia=""/>
          <w:b w:val="false"/>
          <w:i w:val="true"/>
          <w:strike w:val="false"/>
          <w:color w:val="000000"/>
          <w:sz w:val="20"/>
          <w:u w:val="none"/>
        </w:rPr>
        <w:t xml:space="preserve">中国四国歴史学地理学協会2025年度大会,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