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single"/>
        </w:rPr>
        <w:t>JASTEC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177-192,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Joseph Thomas Milburn (ed.), (2025). Murakami Haruki and Philosophical Concepts, --- Thoughts about Haruki Murakami, Writing, and Running ---, Palgrave McMillan,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Solution for Small Programs: Reflections on Centering Support for Pre-departure Study Abroad Students Within an English for Academic Purposes Core Curriculum Two Semester Class, Routledge, Taylor &amp; Francis, 2026.</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Driving Sustainability Through Transformative Leadership, </w:t>
      </w:r>
      <w:r>
        <w:rPr>
          <w:rFonts w:ascii="" w:hAnsi="" w:cs="" w:eastAsia=""/>
          <w:b w:val="false"/>
          <w:i w:val="true"/>
          <w:strike w:val="false"/>
          <w:color w:val="000000"/>
          <w:sz w:val="20"/>
          <w:u w:val="none"/>
        </w:rPr>
        <w:t xml:space="preserve">International Scientific and Practical Conference - Career Guidance: A Key to Sustainable Development (Uzbekistan), </w:t>
      </w:r>
      <w:r>
        <w:rPr>
          <w:rFonts w:ascii="" w:hAnsi="" w:cs="" w:eastAsia=""/>
          <w:b w:val="false"/>
          <w:i w:val="false"/>
          <w:strike w:val="false"/>
          <w:color w:val="000000"/>
          <w:sz w:val="20"/>
          <w:u w:val="none"/>
        </w:rPr>
        <w:t>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