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松香 芳三, 泉 仁, 川人 伸次,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房条件での要素パターンに対する纏まり性,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21-33,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Yuki Shirai, Yoshitake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東端 孝博, 浜野 淳, 長岡 広香, 笹原 朋代,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新幡 智子, 風間 郁子, 前野 哲博, 木澤 義之 : </w:t>
      </w:r>
      <w:r>
        <w:rPr>
          <w:rFonts w:ascii="" w:hAnsi="" w:cs="" w:eastAsia=""/>
          <w:b w:val="false"/>
          <w:i w:val="false"/>
          <w:strike w:val="false"/>
          <w:color w:val="000000"/>
          <w:sz w:val="20"/>
          <w:u w:val="none"/>
        </w:rPr>
        <w:t xml:space="preserve">エンドオブライフケアを実践する看護師において，ワークライフバランスと社会的サポートが職業上のQOLに与える影響,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赤司 友実, 北上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乳幼児を育てながら外来化学療法を受けるがん患者の 親役割遂行上の困難と対処―質的研究を通して,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大介, 蟹江 絢子, 田島 美幸, 樫村 正美, 田村 法子,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FACEDUO「認知症ケア支援VR」,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Higashibata, J Hamano, H Nagaoka, T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Arahata, I Kazama, S Oyamada, T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Kizawa : </w:t>
      </w:r>
      <w:r>
        <w:rPr>
          <w:rFonts w:ascii="" w:hAnsi="" w:cs="" w:eastAsia=""/>
          <w:b w:val="false"/>
          <w:i w:val="false"/>
          <w:strike w:val="false"/>
          <w:color w:val="000000"/>
          <w:sz w:val="20"/>
          <w:u w:val="none"/>
        </w:rPr>
        <w:t xml:space="preserve">Worklife balance, social support, and professional quality of life among end-of-life care nurses: A secondary analysis, </w:t>
      </w:r>
      <w:r>
        <w:rPr>
          <w:rFonts w:ascii="" w:hAnsi="" w:cs="" w:eastAsia=""/>
          <w:b w:val="false"/>
          <w:i w:val="true"/>
          <w:strike w:val="false"/>
          <w:color w:val="000000"/>
          <w:sz w:val="20"/>
          <w:u w:val="single"/>
        </w:rPr>
        <w:t>Nursing &amp;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e70205,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高麗 望海, 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日本の心理職における心理専門家への援助希求の障壁となる要因の質的検討, </w:t>
      </w:r>
      <w:r>
        <w:rPr>
          <w:rFonts w:ascii="" w:hAnsi="" w:cs="" w:eastAsia=""/>
          <w:b w:val="false"/>
          <w:i w:val="true"/>
          <w:strike w:val="false"/>
          <w:color w:val="000000"/>
          <w:sz w:val="20"/>
          <w:u w:val="none"/>
        </w:rPr>
        <w:t xml:space="preserve">日本心理臨床学会 第44回大会,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心理職における援助希求の障壁ースティグマと自己解決指向の影響,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医療者の傷つきとセルフケアについて考える―トラウマ，グリーフ，バーンアウト―, </w:t>
      </w:r>
      <w:r>
        <w:rPr>
          <w:rFonts w:ascii="" w:hAnsi="" w:cs="" w:eastAsia=""/>
          <w:b w:val="false"/>
          <w:i w:val="false"/>
          <w:strike w:val="false"/>
          <w:color w:val="000000"/>
          <w:sz w:val="20"/>
          <w:u w:val="none"/>
        </w:rPr>
        <w:t>2025年10月.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