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投資会社ガバナンスにおけるSECの法執行,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73-93,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取締役候補者の指名に係る追加情報の要求と回答期限について定める付属定款の解釈,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2298, </w:t>
      </w:r>
      <w:r>
        <w:rPr>
          <w:rFonts w:ascii="" w:hAnsi="" w:cs="" w:eastAsia=""/>
          <w:b w:val="false"/>
          <w:i w:val="false"/>
          <w:strike w:val="false"/>
          <w:color w:val="000000"/>
          <w:sz w:val="20"/>
          <w:u w:val="none"/>
        </w:rPr>
        <w:t>52-56,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63-81,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書籍紹介:M・ミントロム著/石田祐・三井俊介訳『政策起業家が社会を変えるーソーシャル・イノベーションの新たな担い手-』ミネルヴァ書房,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2022.4,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書籍紹介:金谷信子『介護サービスと市場原理:効率化・質と市民社会のジレンマ』大阪大学出版会,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2022.4,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書籍紹介:小島廣光・平本健太『非営利法人制度改革の研究 ― 新・政策の窓モデルによる実証分析』北海道大学出版会,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2022.5,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書籍紹介:佐藤嘉倫・稲葉陽二・藤原佳典編『AIはどのように社会を変えるか-ソーシャル・キャピタルと格差の視点から-』東京大学出版会,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2022.5,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書籍紹介:川島典子編『人口減少社会の地域経営政策』晃洋書房,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2022.7,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書籍紹介:中川幾郎編『地域自治のしくみづくり:実践ハンドブック』学芸出版社,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2022.8,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2022.11,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書籍紹介:李永淑編『モヤモヤのボランティア学:私・他者・社会の交差点に役立つアクティブラーニング』昭和堂,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2023.3,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金融商品取引法」,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米国投資会社法におけるピラミッディング禁止規定の歴史的展開,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91-110,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バランジェ ドゥニ, 山元 一, </w:t>
      </w: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「フランス憲法学の政治化と脱政治化」ドゥニ・バランジェ(著)，山元一・兵田愛子(共訳), </w:t>
      </w:r>
      <w:r>
        <w:rPr>
          <w:rFonts w:ascii="" w:hAnsi="" w:cs="" w:eastAsia=""/>
          <w:b w:val="false"/>
          <w:i w:val="true"/>
          <w:strike w:val="false"/>
          <w:color w:val="000000"/>
          <w:sz w:val="20"/>
          <w:u w:val="single"/>
        </w:rPr>
        <w:t>法學研究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125-153,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書籍紹介:吉武由彩『匿名他者への贈与と想像力の社会学:献血をボランタリー行為として読み解く』ミネルヴァ書房,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2023.9,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欧州人権裁判所判例における居住の権利の保障状況, </w:t>
      </w:r>
      <w:r>
        <w:rPr>
          <w:rFonts w:ascii="" w:hAnsi="" w:cs="" w:eastAsia=""/>
          <w:b w:val="false"/>
          <w:i w:val="true"/>
          <w:strike w:val="false"/>
          <w:color w:val="000000"/>
          <w:sz w:val="20"/>
          <w:u w:val="none"/>
        </w:rPr>
        <w:t xml:space="preserve">日本居住福祉学会・2023年度全国大会,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欧州人権裁判所判例に見られる居住の権利の状況, </w:t>
      </w:r>
      <w:r>
        <w:rPr>
          <w:rFonts w:ascii="" w:hAnsi="" w:cs="" w:eastAsia=""/>
          <w:b w:val="false"/>
          <w:i w:val="true"/>
          <w:strike w:val="false"/>
          <w:color w:val="000000"/>
          <w:sz w:val="20"/>
          <w:u w:val="none"/>
        </w:rPr>
        <w:t xml:space="preserve">松下幸之助記念志財団 研究助成,研究報告,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