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憲法における人権保障のあり方と，徳島市人権条例の役割, </w:t>
      </w:r>
      <w:r>
        <w:rPr>
          <w:rFonts w:ascii="" w:hAnsi="" w:cs="" w:eastAsia=""/>
          <w:b w:val="false"/>
          <w:i w:val="true"/>
          <w:strike w:val="false"/>
          <w:color w:val="000000"/>
          <w:sz w:val="20"/>
          <w:u w:val="none"/>
        </w:rPr>
        <w:t xml:space="preserve">徳島市人権擁護施策推進審議会, </w:t>
      </w:r>
      <w:r>
        <w:rPr>
          <w:rFonts w:ascii="" w:hAnsi="" w:cs="" w:eastAsia=""/>
          <w:b w:val="false"/>
          <w:i w:val="false"/>
          <w:strike w:val="false"/>
          <w:color w:val="000000"/>
          <w:sz w:val="20"/>
          <w:u w:val="none"/>
        </w:rPr>
        <w:t>2025年5月.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議院内閣制論における解散権行使についての憲法的な検討の模索, </w:t>
      </w:r>
      <w:r>
        <w:rPr>
          <w:rFonts w:ascii="" w:hAnsi="" w:cs="" w:eastAsia=""/>
          <w:b w:val="false"/>
          <w:i w:val="true"/>
          <w:strike w:val="false"/>
          <w:color w:val="000000"/>
          <w:sz w:val="20"/>
          <w:u w:val="none"/>
        </w:rPr>
        <w:t xml:space="preserve">関西憲法判例研究会7月例会 ミニ・シンポジウム「近年の混迷した政治状況下における選挙制度・国会・内閣運営の憲法的課題」,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