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ONISHI Ryosuke, Kansuke Kawagishi, YOKOCHI Haruki, Matsuda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Fretting Fatigue Life of Ti6Al4V with Cr/CrN Multilayer Coatings by Increasing Layers,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SASAKI Keigo, Yohei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Refinement of Industrial Pure Iron by Electron Beam Alloying with Ti and Nb,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Effect of Zn Content on Bonding Strength of Sn-Zn Solder to Glass Plate Prepared by Ultrasonic Assisted Soldering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HAYASHI Koshi, YAMAMOTO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Zn Content on the Bond Strength of Bi-Zn Solder to Glass,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MARUO Takumi, HARADA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Projected Particle Shape on Erosion Properties of Cr/CrN Multilayer Coating,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Akihiko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 measurement of chromium nitride film deposited by arc ion plating method on aluminum alloy substrate, </w:t>
      </w:r>
      <w:r>
        <w:rPr>
          <w:rFonts w:ascii="" w:hAnsi="" w:cs="" w:eastAsia=""/>
          <w:b w:val="false"/>
          <w:i w:val="true"/>
          <w:strike w:val="false"/>
          <w:color w:val="000000"/>
          <w:sz w:val="20"/>
          <w:u w:val="none"/>
        </w:rPr>
        <w:t xml:space="preserve">Abstract Book of 10th International Conference on Advanced Materials Development and Performance,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五葵,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回折X線の検出器の違いによる高分子弾性定数測定への影響,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洸太,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X線低角入射による窒化クロム薄膜の応力測定,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勇人,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電子ビーム表面処理法によるh-BNを用いた固体潤滑粒子分散表面層の形成, </w:t>
      </w:r>
      <w:r>
        <w:rPr>
          <w:rFonts w:ascii="" w:hAnsi="" w:cs="" w:eastAsia=""/>
          <w:b w:val="false"/>
          <w:i w:val="true"/>
          <w:strike w:val="false"/>
          <w:color w:val="000000"/>
          <w:sz w:val="20"/>
          <w:u w:val="none"/>
        </w:rPr>
        <w:t xml:space="preserve">日本機械学会中国四国支部第63期講演会講演論文集, </w:t>
      </w:r>
      <w:r>
        <w:rPr>
          <w:rFonts w:ascii="" w:hAnsi="" w:cs="" w:eastAsia=""/>
          <w:b w:val="false"/>
          <w:i w:val="false"/>
          <w:strike w:val="false"/>
          <w:color w:val="000000"/>
          <w:sz w:val="20"/>
          <w:u w:val="none"/>
        </w:rPr>
        <w:t>02b4-1-02b4-2,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惇志,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24-25,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26-27,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