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Kinmura Satoru,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Shinkai Mizuki, Shibagaki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Combining Shallow Learning and Ensemble Learning for the Automated Detection of Swallowing Sounds in a Clinical Database,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達也,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腸音を用いた異なる濃度のコーヒー摂取による腸運動性の調査,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腸運動性評価のための腸音に基づく刺激応答プロットの提案, </w:t>
      </w:r>
      <w:r>
        <w:rPr>
          <w:rFonts w:ascii="" w:hAnsi="" w:cs="" w:eastAsia=""/>
          <w:b w:val="false"/>
          <w:i w:val="true"/>
          <w:strike w:val="false"/>
          <w:color w:val="000000"/>
          <w:sz w:val="20"/>
          <w:u w:val="none"/>
        </w:rPr>
        <w:t xml:space="preserve">第63回日本生体医工学会大会,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高脇 賢治, 原口 毅之,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対称な聴診器配置による効果的な腸⾳の⾳源推定法の開発,, </w:t>
      </w:r>
      <w:r>
        <w:rPr>
          <w:rFonts w:ascii="" w:hAnsi="" w:cs="" w:eastAsia=""/>
          <w:b w:val="false"/>
          <w:i w:val="true"/>
          <w:strike w:val="false"/>
          <w:color w:val="000000"/>
          <w:sz w:val="20"/>
          <w:u w:val="none"/>
        </w:rPr>
        <w:t xml:space="preserve">生体医工学シンポジウム2024,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東本 昴大,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 LSI の配置最適化に関する研究,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伊吹,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方向性を考慮した条件付きグリッド拡張を用いた TSV 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立樹,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 アルゴリズムを用いた b*-tree 表現フロアプランの最適化に関する研究,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康世,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二つのコウモリ群を用いたフロアプラン最適化アルゴリズムに関する研究,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坂野 健杜,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ソナー画像を用いた水中 SLAM におけるループ検出技術の精度評価,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賈 書綱,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河川監視システムにおける雨滴分類手法,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賢吾,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 Few-shot 物体検出手法に関する研究,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淳史,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交差点映像における高効率セグメンテーションデータセット生成,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二條 質隼,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近海養殖支援に向けた水中物体検出に関する調査,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Kushima Hiroki,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High-Efficiency Video Coding Algorithm using E4S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814-818,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Kobayashi Arata,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Viewpoint Selection Algorithm for High Accuracy 3D Image Generation in EscherNet,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825-829,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Miura Kosei,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Vision Transformer with Bit Reduction for Edge Computing,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261-265,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Keigo,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High Accuracy Individual Identification Method for Sea Turtles with Deep Learning,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1155-1160,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Yuki, 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Improved Underwater 3D Image Generation Using SeaThru-NeRF for Inshore Aquaculture,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1414-1418, Seoul, Republic of Korea, Jul.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