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Lipotoxicity in the pathogenesis of chronic kidney disease complications,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食品成分表示の活用,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栄養成分表示の活用, 医歯薬出版株式会社,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田副 渚, 辻 シャフィカ, 池本 一人, 伏見 太希,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二川 健,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yrroloquinoline quinone (PQQ) の抗肥満作用の解明,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杉谷 里菜,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オリーブ由来ポリフェノールOleuropeinはセロトニン分泌を促進する,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田副 渚, 辻 シャフィカ, 池本 一人,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quinone(PQQ)の抗肥満作用の解明,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α-HumuleneによるNAMPT発現増加を介した細胞内NAD⁺濃度上昇作用の解明,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綾花, 辻 健太郎, 飯泉 陽介,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阪本 龍司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廣木 健登, 藤井 靖之,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須原 義智, 越阪部 奈緒美 : </w:t>
      </w:r>
      <w:r>
        <w:rPr>
          <w:rFonts w:ascii="" w:hAnsi="" w:cs="" w:eastAsia=""/>
          <w:b w:val="false"/>
          <w:i w:val="false"/>
          <w:strike w:val="false"/>
          <w:color w:val="000000"/>
          <w:sz w:val="20"/>
          <w:u w:val="none"/>
        </w:rPr>
        <w:t xml:space="preserve">C環構造の異なるフラボノイド類のRedox特性依存的な生理活性発現の解明,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α-HumuleneによるNAMPT発現増加を介した細胞内NAD⁺濃度上昇作用の解明,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 による NAMPT 発現増加を介した細胞内NAD+濃度上昇作用の解明,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α-Humuleneの細胞内NAD+ 濃度上昇作用を介した細胞老化抑制効果の解明, </w:t>
      </w:r>
      <w:r>
        <w:rPr>
          <w:rFonts w:ascii="" w:hAnsi="" w:cs="" w:eastAsia=""/>
          <w:b w:val="false"/>
          <w:i w:val="true"/>
          <w:strike w:val="false"/>
          <w:color w:val="000000"/>
          <w:sz w:val="20"/>
          <w:u w:val="none"/>
        </w:rPr>
        <w:t xml:space="preserve">第79回 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渚,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血管石灰化を抑制する香辛料の探索, </w:t>
      </w:r>
      <w:r>
        <w:rPr>
          <w:rFonts w:ascii="" w:hAnsi="" w:cs="" w:eastAsia=""/>
          <w:b w:val="false"/>
          <w:i w:val="true"/>
          <w:strike w:val="false"/>
          <w:color w:val="000000"/>
          <w:sz w:val="20"/>
          <w:u w:val="none"/>
        </w:rPr>
        <w:t xml:space="preserve">第79回 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平畠 千絵, 廣木 健登,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越阪部 奈緒美 : </w:t>
      </w:r>
      <w:r>
        <w:rPr>
          <w:rFonts w:ascii="" w:hAnsi="" w:cs="" w:eastAsia=""/>
          <w:b w:val="false"/>
          <w:i w:val="false"/>
          <w:strike w:val="false"/>
          <w:color w:val="000000"/>
          <w:sz w:val="20"/>
          <w:u w:val="none"/>
        </w:rPr>
        <w:t xml:space="preserve">Cyanidin-3-O-glucosideの循環動態への影響とその作用メカニズムの検証,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