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11-25,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1-11,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19-24, 2023.</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12-18,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none"/>
        </w:rPr>
        <w:t xml:space="preserve">135-144,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a Mahandran, Govindaraj l, Miyadera Ryohei, Thoe Khar Ng, Retnowati Endah, Hang Jing Ng, Lean Poh Choo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020007, Penang, Malaysia,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020015, Penang, Malaysia,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152-163, 2023.</w:t>
      </w:r>
    </w:p>
    <w:p>
      <w:pPr>
        <w:numPr>
          <w:numId w:val="6"/>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6727-6732,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1065-1073,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9-15,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218-226,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248-254, Palermo,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161-162,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7"/>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Black Soldier Fly Larva Meal Substitution for Growth Performance and Meat Quality of Loach Fish, </w:t>
      </w:r>
      <w:r>
        <w:rPr>
          <w:rFonts w:ascii="" w:hAnsi="" w:cs="" w:eastAsia=""/>
          <w:b w:val="false"/>
          <w:i w:val="true"/>
          <w:strike w:val="false"/>
          <w:color w:val="000000"/>
          <w:sz w:val="20"/>
          <w:u w:val="none"/>
        </w:rPr>
        <w:t xml:space="preserve">Asian Journal of Dairy and Food Research,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7"/>
        </w:numPr>
        <w:autoSpaceDE w:val="off"/>
        <w:autoSpaceDN w:val="off"/>
        <w:spacing w:line="-240" w:lineRule="auto"/>
        <w:ind w:left="30"/>
      </w:pPr>
      <w:r>
        <w:rPr>
          <w:rFonts w:ascii="" w:hAnsi="" w:cs="" w:eastAsia=""/>
          <w:b w:val="true"/>
          <w:i w:val="false"/>
          <w:strike w:val="false"/>
          <w:color w:val="000000"/>
          <w:sz w:val="20"/>
          <w:u w:val="none"/>
        </w:rPr>
        <w:t>Nguyen Thi Nhien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Soldier Fly Larvae Meal as a Sustainable Alternative to Fishmeal in Juvenile Swamp Eel Diets: Effects on Growth and Meat Quality, </w:t>
      </w:r>
      <w:r>
        <w:rPr>
          <w:rFonts w:ascii="" w:hAnsi="" w:cs="" w:eastAsia=""/>
          <w:b w:val="false"/>
          <w:i w:val="true"/>
          <w:strike w:val="false"/>
          <w:color w:val="000000"/>
          <w:sz w:val="20"/>
          <w:u w:val="single"/>
        </w:rPr>
        <w:t>Aquaculture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7"/>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7"/>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155-166,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321-330,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Barcelona Conference on Arts, Media &amp; Culture 2024 Official Conference Proceedings, </w:t>
      </w:r>
      <w:r>
        <w:rPr>
          <w:rFonts w:ascii="" w:hAnsi="" w:cs="" w:eastAsia=""/>
          <w:b w:val="false"/>
          <w:i w:val="false"/>
          <w:strike w:val="false"/>
          <w:color w:val="000000"/>
          <w:sz w:val="20"/>
          <w:u w:val="none"/>
        </w:rPr>
        <w:t>291-300,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丹羽 量久, 山地 弘起 : </w:t>
      </w:r>
      <w:r>
        <w:rPr>
          <w:rFonts w:ascii="" w:hAnsi="" w:cs="" w:eastAsia=""/>
          <w:b w:val="false"/>
          <w:i w:val="false"/>
          <w:strike w:val="false"/>
          <w:color w:val="000000"/>
          <w:sz w:val="20"/>
          <w:u w:val="none"/>
        </w:rPr>
        <w:t xml:space="preserve">高校生のメタ認知についての縦断的検討, --- -初年次大学生の深い学びの把握への架橋に向けて- ---, </w:t>
      </w:r>
      <w:r>
        <w:rPr>
          <w:rFonts w:ascii="" w:hAnsi="" w:cs="" w:eastAsia=""/>
          <w:b w:val="false"/>
          <w:i w:val="true"/>
          <w:strike w:val="false"/>
          <w:color w:val="000000"/>
          <w:sz w:val="20"/>
          <w:u w:val="none"/>
        </w:rPr>
        <w:t xml:space="preserve">長崎大学教育開発推進機構紀要,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39-46,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11-17,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7-10,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7"/>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History Retention Framework using Blockchain Technology to Ensure Reliability of Learning Logs, </w:t>
      </w:r>
      <w:r>
        <w:rPr>
          <w:rFonts w:ascii="" w:hAnsi="" w:cs="" w:eastAsia=""/>
          <w:b w:val="false"/>
          <w:i w:val="true"/>
          <w:strike w:val="false"/>
          <w:color w:val="000000"/>
          <w:sz w:val="20"/>
          <w:u w:val="none"/>
        </w:rPr>
        <w:t xml:space="preserve">Proceedings of 17th International Conference of Education, Research and Innovation (ICERI2024), </w:t>
      </w:r>
      <w:r>
        <w:rPr>
          <w:rFonts w:ascii="" w:hAnsi="" w:cs="" w:eastAsia=""/>
          <w:b w:val="false"/>
          <w:i w:val="false"/>
          <w:strike w:val="false"/>
          <w:color w:val="000000"/>
          <w:sz w:val="20"/>
          <w:u w:val="none"/>
        </w:rPr>
        <w:t xml:space="preserve">10483-10486,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Kaori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(AGen2025),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メタ認知尺度(MAI)を用いたコロナ後の大学生の深い学びについて,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コロナ禍と大学生のメタ認知について, </w:t>
      </w:r>
      <w:r>
        <w:rPr>
          <w:rFonts w:ascii="" w:hAnsi="" w:cs="" w:eastAsia=""/>
          <w:b w:val="false"/>
          <w:i w:val="true"/>
          <w:strike w:val="false"/>
          <w:color w:val="000000"/>
          <w:sz w:val="20"/>
          <w:u w:val="none"/>
        </w:rPr>
        <w:t xml:space="preserve">日本教育工学会 2024年秋季全国大会講演論文集, </w:t>
      </w:r>
      <w:r>
        <w:rPr>
          <w:rFonts w:ascii="" w:hAnsi="" w:cs="" w:eastAsia=""/>
          <w:b w:val="false"/>
          <w:i w:val="false"/>
          <w:strike w:val="false"/>
          <w:color w:val="000000"/>
          <w:sz w:val="20"/>
          <w:u w:val="none"/>
        </w:rPr>
        <w:t>71-72,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基礎科目を対象にした適応的学習システムの診断機能について, </w:t>
      </w:r>
      <w:r>
        <w:rPr>
          <w:rFonts w:ascii="" w:hAnsi="" w:cs="" w:eastAsia=""/>
          <w:b w:val="false"/>
          <w:i w:val="true"/>
          <w:strike w:val="false"/>
          <w:color w:val="000000"/>
          <w:sz w:val="20"/>
          <w:u w:val="none"/>
        </w:rPr>
        <w:t xml:space="preserve">大学ICT推進協議会2024年度年次大会講演論文集, </w:t>
      </w:r>
      <w:r>
        <w:rPr>
          <w:rFonts w:ascii="" w:hAnsi="" w:cs="" w:eastAsia=""/>
          <w:b w:val="false"/>
          <w:i w:val="false"/>
          <w:strike w:val="false"/>
          <w:color w:val="000000"/>
          <w:sz w:val="20"/>
          <w:u w:val="none"/>
        </w:rPr>
        <w:t>670-673,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知プラ e における 10 年間の学習者数変動の分析,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40-41,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優作, </w:t>
      </w: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渡辺 雄貴 : </w:t>
      </w:r>
      <w:r>
        <w:rPr>
          <w:rFonts w:ascii="" w:hAnsi="" w:cs="" w:eastAsia=""/>
          <w:b w:val="false"/>
          <w:i w:val="false"/>
          <w:strike w:val="false"/>
          <w:color w:val="000000"/>
          <w:sz w:val="20"/>
          <w:u w:val="none"/>
        </w:rPr>
        <w:t xml:space="preserve">持続的な意味理解方略の使用を促す指導の設計に向けて,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165-166,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パンデミック下の大学生のメタ認知の状況,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249-250,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オンライン授業の学習者の取り組み方・経験変化の分析,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107-108, 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Dang Bao Ngoc, Tran Thai Phuc, Tran Thi Hoa, Phan Ngoc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Drives Academic Performance: Lifestyle, Mental Health, and Biological Traits Among Medical Students in a Southeast Asian Context, </w:t>
      </w:r>
      <w:r>
        <w:rPr>
          <w:rFonts w:ascii="" w:hAnsi="" w:cs="" w:eastAsia=""/>
          <w:b w:val="false"/>
          <w:i w:val="true"/>
          <w:strike w:val="false"/>
          <w:color w:val="000000"/>
          <w:sz w:val="20"/>
          <w:u w:val="single"/>
        </w:rPr>
        <w:t>Psychology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Huong Thi Thanh Trinh,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Diem Hong Tran, Hyeon Soo Kim, Sogabe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of Mouse D-Amino Acid Oxidase,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Phan Ngoc-Quang, Pham Thuy-Trang, Dang Thi-Thu-Thuy, Tran Thi-Anh-Nguyet, Nguyen Thi-Thu-An, Doan Ba-Nam, Chu Ngoc-Khanh,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What Medical Students Know-but Dont Do-About Thalassemia: A Behavioural Perspective on Socioeconomic Influences, </w:t>
      </w:r>
      <w:r>
        <w:rPr>
          <w:rFonts w:ascii="" w:hAnsi="" w:cs="" w:eastAsia=""/>
          <w:b w:val="false"/>
          <w:i w:val="true"/>
          <w:strike w:val="false"/>
          <w:color w:val="000000"/>
          <w:sz w:val="20"/>
          <w:u w:val="none"/>
        </w:rPr>
        <w:t xml:space="preserve">Semarak International Journal of Applied Psychology,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10-23,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Dang Bao Ngoc, Nguyen Trung Kien, Bui Minh Tien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 Quang : </w:t>
      </w:r>
      <w:r>
        <w:rPr>
          <w:rFonts w:ascii="" w:hAnsi="" w:cs="" w:eastAsia=""/>
          <w:b w:val="false"/>
          <w:i w:val="false"/>
          <w:strike w:val="false"/>
          <w:color w:val="000000"/>
          <w:sz w:val="20"/>
          <w:u w:val="none"/>
        </w:rPr>
        <w:t xml:space="preserve">Gendered Dimensions of Menstrual Health: Lifestyle, Biology, and Coping Strategies Among Female Medical Students, </w:t>
      </w:r>
      <w:r>
        <w:rPr>
          <w:rFonts w:ascii="" w:hAnsi="" w:cs="" w:eastAsia=""/>
          <w:b w:val="false"/>
          <w:i w:val="true"/>
          <w:strike w:val="false"/>
          <w:color w:val="000000"/>
          <w:sz w:val="20"/>
          <w:u w:val="single"/>
        </w:rPr>
        <w:t>Sexes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295-304,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Gizaw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623-638,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Kanchana Piboon, Bao-Ngoc Dang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Watanabe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2025: Official Conference Proceedings, </w:t>
      </w:r>
      <w:r>
        <w:rPr>
          <w:rFonts w:ascii="" w:hAnsi="" w:cs="" w:eastAsia=""/>
          <w:b w:val="false"/>
          <w:i w:val="false"/>
          <w:strike w:val="false"/>
          <w:color w:val="000000"/>
          <w:sz w:val="20"/>
          <w:u w:val="none"/>
        </w:rPr>
        <w:t>109-119,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The Useless Class Across Economic Contexts: AI, Globalization, and Socioeconomic Shifts, </w:t>
      </w:r>
      <w:r>
        <w:rPr>
          <w:rFonts w:ascii="" w:hAnsi="" w:cs="" w:eastAsia=""/>
          <w:b w:val="false"/>
          <w:i w:val="true"/>
          <w:strike w:val="false"/>
          <w:color w:val="000000"/>
          <w:sz w:val="20"/>
          <w:u w:val="none"/>
        </w:rPr>
        <w:t xml:space="preserve">The Asian Conference on the Social Sciences 2025 Official Conference Proceedings, </w:t>
      </w:r>
      <w:r>
        <w:rPr>
          <w:rFonts w:ascii="" w:hAnsi="" w:cs="" w:eastAsia=""/>
          <w:b w:val="false"/>
          <w:i w:val="false"/>
          <w:strike w:val="false"/>
          <w:color w:val="000000"/>
          <w:sz w:val="20"/>
          <w:u w:val="none"/>
        </w:rPr>
        <w:t>445-456,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Conference Proceedings, </w:t>
      </w:r>
      <w:r>
        <w:rPr>
          <w:rFonts w:ascii="" w:hAnsi="" w:cs="" w:eastAsia=""/>
          <w:b w:val="false"/>
          <w:i w:val="false"/>
          <w:strike w:val="false"/>
          <w:color w:val="000000"/>
          <w:sz w:val="20"/>
          <w:u w:val="none"/>
        </w:rPr>
        <w:t>175-187,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Court Interpreting: A Comparative Literature Review with a Focus on Japan, </w:t>
      </w:r>
      <w:r>
        <w:rPr>
          <w:rFonts w:ascii="" w:hAnsi="" w:cs="" w:eastAsia=""/>
          <w:b w:val="false"/>
          <w:i w:val="true"/>
          <w:strike w:val="false"/>
          <w:color w:val="000000"/>
          <w:sz w:val="20"/>
          <w:u w:val="none"/>
        </w:rPr>
        <w:t xml:space="preserve">The Paris Conference on Arts &amp; Humanities 2025: Official Conference Proceedings,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Thi-Nhien : </w:t>
      </w:r>
      <w:r>
        <w:rPr>
          <w:rFonts w:ascii="" w:hAnsi="" w:cs="" w:eastAsia=""/>
          <w:b w:val="false"/>
          <w:i w:val="false"/>
          <w:strike w:val="false"/>
          <w:color w:val="000000"/>
          <w:sz w:val="20"/>
          <w:u w:val="none"/>
        </w:rPr>
        <w:t xml:space="preserve">The Useless Class Across Economic Contexts: AI, Globalization, and Socioeconomic Shifts, </w:t>
      </w:r>
      <w:r>
        <w:rPr>
          <w:rFonts w:ascii="" w:hAnsi="" w:cs="" w:eastAsia=""/>
          <w:b w:val="false"/>
          <w:i w:val="true"/>
          <w:strike w:val="false"/>
          <w:color w:val="000000"/>
          <w:sz w:val="20"/>
          <w:u w:val="none"/>
        </w:rPr>
        <w:t xml:space="preserve">The Asian Conference on the Social Sciences (ACSS2025),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Court Interpreting: A Comparative Literature Review with a Focus on Japan, </w:t>
      </w:r>
      <w:r>
        <w:rPr>
          <w:rFonts w:ascii="" w:hAnsi="" w:cs="" w:eastAsia=""/>
          <w:b w:val="false"/>
          <w:i w:val="true"/>
          <w:strike w:val="false"/>
          <w:color w:val="000000"/>
          <w:sz w:val="20"/>
          <w:u w:val="none"/>
        </w:rPr>
        <w:t xml:space="preserve">The Paris Conference on Arts &amp; Humanities (PCAH),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Media and Online Investment Trends in Southeast Asia: A Review, </w:t>
      </w:r>
      <w:r>
        <w:rPr>
          <w:rFonts w:ascii="" w:hAnsi="" w:cs="" w:eastAsia=""/>
          <w:b w:val="false"/>
          <w:i w:val="true"/>
          <w:strike w:val="false"/>
          <w:color w:val="000000"/>
          <w:sz w:val="20"/>
          <w:u w:val="none"/>
        </w:rPr>
        <w:t xml:space="preserve">The 13th European Conference on Arts &amp; Humanities,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Counseling for InternationalStudents: Applicable Strategies for Non-Anglophone Universities, </w:t>
      </w:r>
      <w:r>
        <w:rPr>
          <w:rFonts w:ascii="" w:hAnsi="" w:cs="" w:eastAsia=""/>
          <w:b w:val="false"/>
          <w:i w:val="true"/>
          <w:strike w:val="false"/>
          <w:color w:val="000000"/>
          <w:sz w:val="20"/>
          <w:u w:val="none"/>
        </w:rPr>
        <w:t xml:space="preserve">The 13th European Conference on Education (ECE2025),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in Crisis? Evaluating the Role of Policy in Addressing Demographic Challenges in Thailand and the Philippines, </w:t>
      </w:r>
      <w:r>
        <w:rPr>
          <w:rFonts w:ascii="" w:hAnsi="" w:cs="" w:eastAsia=""/>
          <w:b w:val="false"/>
          <w:i w:val="true"/>
          <w:strike w:val="false"/>
          <w:color w:val="000000"/>
          <w:sz w:val="20"/>
          <w:u w:val="none"/>
        </w:rPr>
        <w:t xml:space="preserve">The 5th European Conference on Aging &amp; Gerontology,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Challenges of International Students in Japan and Erasmus Countries: A Comparative Literature Review, </w:t>
      </w:r>
      <w:r>
        <w:rPr>
          <w:rFonts w:ascii="" w:hAnsi="" w:cs="" w:eastAsia=""/>
          <w:b w:val="false"/>
          <w:i w:val="true"/>
          <w:strike w:val="false"/>
          <w:color w:val="000000"/>
          <w:sz w:val="20"/>
          <w:u w:val="none"/>
        </w:rPr>
        <w:t xml:space="preserve">Virtual International Conference of JSES 2025: The New Wave of Sociology of Education: Perspectives from East Asia,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コロナ禍を経た初年次学生のメタ認知の変化について, </w:t>
      </w:r>
      <w:r>
        <w:rPr>
          <w:rFonts w:ascii="" w:hAnsi="" w:cs="" w:eastAsia=""/>
          <w:b w:val="false"/>
          <w:i w:val="true"/>
          <w:strike w:val="false"/>
          <w:color w:val="000000"/>
          <w:sz w:val="20"/>
          <w:u w:val="none"/>
        </w:rPr>
        <w:t xml:space="preserve">大学教育学会第47回大会発表要旨集録, </w:t>
      </w:r>
      <w:r>
        <w:rPr>
          <w:rFonts w:ascii="" w:hAnsi="" w:cs="" w:eastAsia=""/>
          <w:b w:val="false"/>
          <w:i w:val="false"/>
          <w:strike w:val="false"/>
          <w:color w:val="000000"/>
          <w:sz w:val="20"/>
          <w:u w:val="none"/>
        </w:rPr>
        <w:t>94-95,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