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16089, 2022.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Anwer Maaz Memon, Shima Wan Nazatul Shahidan, Rizwan Mahmood, Ponnuraj Thirumulu Kannan, Fadzli Khairul Mohd Mustaffa, Suharni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Unravelling the role of stem cell-derived exosomes in oral cancer treatment: A review, </w:t>
      </w:r>
      <w:r>
        <w:rPr>
          <w:rFonts w:ascii="" w:hAnsi="" w:cs="" w:eastAsia=""/>
          <w:b w:val="false"/>
          <w:i w:val="true"/>
          <w:strike w:val="false"/>
          <w:color w:val="000000"/>
          <w:sz w:val="20"/>
          <w:u w:val="single"/>
        </w:rPr>
        <w:t>Biomedical Research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7039-7053,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Universitas Muhammadiyah Yogyakarta2nd New Dream,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下垂体腺腫組織におけるマイクロRNAの発現解析, </w:t>
      </w:r>
      <w:r>
        <w:rPr>
          <w:rFonts w:ascii="" w:hAnsi="" w:cs="" w:eastAsia=""/>
          <w:b w:val="false"/>
          <w:i w:val="true"/>
          <w:strike w:val="false"/>
          <w:color w:val="000000"/>
          <w:sz w:val="20"/>
          <w:u w:val="none"/>
        </w:rPr>
        <w:t xml:space="preserve">第28回 日本臨床内分泌病理学会,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口腔癌微小環境とFusobacterium nucleatum ∼癌の発生・進展予防に対する口腔ケアの重要 性∼, </w:t>
      </w:r>
      <w:r>
        <w:rPr>
          <w:rFonts w:ascii="" w:hAnsi="" w:cs="" w:eastAsia=""/>
          <w:b w:val="false"/>
          <w:i w:val="true"/>
          <w:strike w:val="false"/>
          <w:color w:val="000000"/>
          <w:sz w:val="20"/>
          <w:u w:val="none"/>
        </w:rPr>
        <w:t xml:space="preserve">第67 回秋季日本歯周病学会学術大会サンスター株式会社 ランチョンセミナー,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Mukunoki, Shengjian Jin, Naofumi Tamaki,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surface pre-reacted glass-ionomer filler containing composite resin in human periodontal ligament cells.,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Lauriola Angela, Steinberg Haydee Enrique Juliana, Sarubo Motoharu, Ross Alejandra Frabiana, Rossi Mario, Santi Spartaco,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Guardavaccaro Daniele : </w:t>
      </w:r>
      <w:r>
        <w:rPr>
          <w:rFonts w:ascii="" w:hAnsi="" w:cs="" w:eastAsia=""/>
          <w:b w:val="false"/>
          <w:i w:val="false"/>
          <w:strike w:val="false"/>
          <w:color w:val="000000"/>
          <w:sz w:val="20"/>
          <w:u w:val="none"/>
        </w:rPr>
        <w:t xml:space="preserve">The E3 ligase RNF32 controls NF-kB signaling in intestinal stem cells, </w:t>
      </w:r>
      <w:r>
        <w:rPr>
          <w:rFonts w:ascii="" w:hAnsi="" w:cs="" w:eastAsia=""/>
          <w:b w:val="false"/>
          <w:i w:val="true"/>
          <w:strike w:val="false"/>
          <w:color w:val="000000"/>
          <w:sz w:val="20"/>
          <w:u w:val="none"/>
        </w:rPr>
        <w:t xml:space="preserve">Ubiquitin &amp; Friends Symposium 2025,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&amp; Exhibition,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多能性幹細胞の新しい制御メカニズム ∼染色体パッセンジャー複合体による未分化維持機構∼, </w:t>
      </w:r>
      <w:r>
        <w:rPr>
          <w:rFonts w:ascii="" w:hAnsi="" w:cs="" w:eastAsia=""/>
          <w:b w:val="false"/>
          <w:i w:val="true"/>
          <w:strike w:val="false"/>
          <w:color w:val="000000"/>
          <w:sz w:val="20"/>
          <w:u w:val="none"/>
        </w:rPr>
        <w:t xml:space="preserve">第47回Science Cafe,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八幡 優梨子, 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INHBAが制御する口腔がんにおけるEMT誘導の分子基盤,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