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6"/>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多嚢胞性卵巣症候群(Polycystic ovary syndrome; PCOS)患者における世代別の身体・理学所見の検討, </w:t>
      </w:r>
      <w:r>
        <w:rPr>
          <w:rFonts w:ascii="" w:hAnsi="" w:cs="" w:eastAsia=""/>
          <w:b w:val="false"/>
          <w:i w:val="true"/>
          <w:strike w:val="false"/>
          <w:color w:val="000000"/>
          <w:sz w:val="20"/>
          <w:u w:val="none"/>
        </w:rPr>
        <w:t xml:space="preserve">第97回日本内分泌学会学術総会,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由理,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峯田 あゆか,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腹腔鏡下リスク低減卵管卵巣摘出術により偶発的に悪性診断となった3例, </w:t>
      </w:r>
      <w:r>
        <w:rPr>
          <w:rFonts w:ascii="" w:hAnsi="" w:cs="" w:eastAsia=""/>
          <w:b w:val="false"/>
          <w:i w:val="true"/>
          <w:strike w:val="false"/>
          <w:color w:val="000000"/>
          <w:sz w:val="20"/>
          <w:u w:val="none"/>
        </w:rPr>
        <w:t xml:space="preserve">第64回日本産科婦人科内視鏡学会, </w:t>
      </w:r>
      <w:r>
        <w:rPr>
          <w:rFonts w:ascii="" w:hAnsi="" w:cs="" w:eastAsia=""/>
          <w:b w:val="false"/>
          <w:i w:val="false"/>
          <w:strike w:val="false"/>
          <w:color w:val="000000"/>
          <w:sz w:val="20"/>
          <w:u w:val="none"/>
        </w:rPr>
        <w:t>2024年9月.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