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Shimomura, Keiko Yamamoto Shimojima,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Eriko Nishi, Ken Inoue, Satoru Nagata, Nobuhiko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Unique DUP-TRP/INV-DUP Structure Detected by Long-Read Sequencing.,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e64044,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当院で実施したピーナッツ・ナッツ類経口負荷試験の検討,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第35回四国小児アレルギー研究会,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