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山川允仁 (名), 鈴木結加里 (名), 秋田理沙 (名),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幸平若菜 (名),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Maeo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Wakana Kohira, Yukari Suzuki, Yoshihito Yamakawa,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Tongue Posture Improvement Effect of Orofacial Myofunctional Therapy Comprehensive Study of Nasal Ventilation Condition Using Computational Fluid Dynamics and Dental Arch Morphology., </w:t>
      </w:r>
      <w:r>
        <w:rPr>
          <w:rFonts w:ascii="" w:hAnsi="" w:cs="" w:eastAsia=""/>
          <w:b w:val="false"/>
          <w:i w:val="true"/>
          <w:strike w:val="false"/>
          <w:color w:val="000000"/>
          <w:sz w:val="20"/>
          <w:u w:val="single"/>
        </w:rPr>
        <w:t>Orthodontics &amp; Craniofacial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