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Matsushita,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Naoko Okada, 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Otsuka : </w:t>
      </w:r>
      <w:r>
        <w:rPr>
          <w:rFonts w:ascii="" w:hAnsi="" w:cs="" w:eastAsia=""/>
          <w:b w:val="false"/>
          <w:i w:val="false"/>
          <w:strike w:val="false"/>
          <w:color w:val="000000"/>
          <w:sz w:val="20"/>
          <w:u w:val="none"/>
        </w:rPr>
        <w:t xml:space="preserve">177Lu-DOTATATE Uptake in the Lungs of a Patient With COVID-19 Pneumonia,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877-878,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ペプチド受容体放射性核種療法後後のシンチグラフィ定量化と視覚スコアによる治療効果評価, </w:t>
      </w:r>
      <w:r>
        <w:rPr>
          <w:rFonts w:ascii="" w:hAnsi="" w:cs="" w:eastAsia=""/>
          <w:b w:val="false"/>
          <w:i w:val="true"/>
          <w:strike w:val="false"/>
          <w:color w:val="000000"/>
          <w:sz w:val="20"/>
          <w:u w:val="none"/>
        </w:rPr>
        <w:t xml:space="preserve">第37回日本核医学技術学会中国・四国地方会,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