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6"/>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Yusuke Inoue, Makoto Hata, Motoki Sugasaki, Hiroko Yoshida, Satiko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Kazuhiro Ikegame,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ADVIA2120i parameter revised %MICRO is a surrogate marker of schistocyte formation after hematopoietic stem cell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250-254, 2020.</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