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236-237, 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Morihiko Sagawa, Hiroto Ohguchi,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 Mehmet Samur, Yu-Tzu Tai, C. Nikhil Munshi, Masahiro Kizaki,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Kenneth Anderson : </w:t>
      </w:r>
      <w:r>
        <w:rPr>
          <w:rFonts w:ascii="" w:hAnsi="" w:cs="" w:eastAsia=""/>
          <w:b w:val="false"/>
          <w:i w:val="false"/>
          <w:strike w:val="false"/>
          <w:color w:val="000000"/>
          <w:sz w:val="20"/>
          <w:u w:val="none"/>
        </w:rPr>
        <w:t xml:space="preserve">Ribonucleotide Reductase Catalytic Subunit M1 (RRM1) as a Novel Therapeutic Target in Multiple Myeloma,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5225-5237,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Ohguchi Hiroto, Grondin Yohann, Kikuchi Shohei, Sagawa Morihiko, Tai Yu-Tzu, Mazitschek Ralph, Hideshima 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Anderson C. Kenneth : </w:t>
      </w:r>
      <w:r>
        <w:rPr>
          <w:rFonts w:ascii="" w:hAnsi="" w:cs="" w:eastAsia=""/>
          <w:b w:val="false"/>
          <w:i w:val="false"/>
          <w:strike w:val="false"/>
          <w:color w:val="000000"/>
          <w:sz w:val="20"/>
          <w:u w:val="none"/>
        </w:rPr>
        <w:t xml:space="preserve">HDAC3 regulates DNMT1 expression in multiple myeloma: therapeutic implications,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2670-2677,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Ohguchi,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Morihiko Sagawa, Shohei Kikuchi, YT Tai, PG Richardson,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Anderson : </w:t>
      </w:r>
      <w:r>
        <w:rPr>
          <w:rFonts w:ascii="" w:hAnsi="" w:cs="" w:eastAsia=""/>
          <w:b w:val="false"/>
          <w:i w:val="false"/>
          <w:strike w:val="false"/>
          <w:color w:val="000000"/>
          <w:sz w:val="20"/>
          <w:u w:val="none"/>
        </w:rPr>
        <w:t xml:space="preserve">KDM6B modulates MAPK pathway mediating multiple myeloma cell growth and survival,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2661-2669,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301-308,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忍, 戸根 沙織,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山上 圭, 廣島 裕也, 田村 洋人 : </w:t>
      </w:r>
      <w:r>
        <w:rPr>
          <w:rFonts w:ascii="" w:hAnsi="" w:cs="" w:eastAsia=""/>
          <w:b w:val="false"/>
          <w:i w:val="false"/>
          <w:strike w:val="false"/>
          <w:color w:val="000000"/>
          <w:sz w:val="20"/>
          <w:u w:val="none"/>
        </w:rPr>
        <w:t xml:space="preserve">症例検討:妊婦に発症した脳梗塞の1例,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2265-2272,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Ohguchi Hiroto, Grondin Yohann, Kikuchi Shohei, Sagawa Morihiko, Tai Yu-Tzu, Mazitschek Ralph, Hideshima 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Anderson C. Kenneth : </w:t>
      </w:r>
      <w:r>
        <w:rPr>
          <w:rFonts w:ascii="" w:hAnsi="" w:cs="" w:eastAsia=""/>
          <w:b w:val="false"/>
          <w:i w:val="false"/>
          <w:strike w:val="false"/>
          <w:color w:val="000000"/>
          <w:sz w:val="20"/>
          <w:u w:val="none"/>
        </w:rPr>
        <w:t xml:space="preserve">HDAC3 regulates DNMT1 expression in multiple myeloma: therapeutic implications, </w:t>
      </w:r>
      <w:r>
        <w:rPr>
          <w:rFonts w:ascii="" w:hAnsi="" w:cs="" w:eastAsia=""/>
          <w:b w:val="false"/>
          <w:i w:val="true"/>
          <w:strike w:val="false"/>
          <w:color w:val="000000"/>
          <w:sz w:val="20"/>
          <w:u w:val="none"/>
        </w:rPr>
        <w:t xml:space="preserve">The 79th Annual Meeting of the Japanese Society of Hematology,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e12826,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Anamaria Gulla, Teru Hideshima, Giada Bianchi, MT Fulciniti, M Samur Kemal, J Qi, Yu-Tzu Tai,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E Morelli, N Amodio, R Carrasco, P Tagliaferri, NC Munshi, P Tassone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Kenneth Anderson : </w:t>
      </w:r>
      <w:r>
        <w:rPr>
          <w:rFonts w:ascii="" w:hAnsi="" w:cs="" w:eastAsia=""/>
          <w:b w:val="false"/>
          <w:i w:val="false"/>
          <w:strike w:val="false"/>
          <w:color w:val="000000"/>
          <w:sz w:val="20"/>
          <w:u w:val="none"/>
        </w:rPr>
        <w:t xml:space="preserve">Protein arginine methyltransferase 5 has prognostic relevance and is a druggable target in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996-1002,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HDAC1 and HDAC3 as therapeutic targets against myeloma cells,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Matthew Ho, Tianzeng Chen, Jiye Liu, Paul Dowling, Teru Hideshima, Li Zhang, Eugenio Morelli, Gulden Camci-Unal, Xinchen Wu, Yu-Tzu Tai, Kenneth Wen, Mehmet Samur, Robert L. Schlossman, Ralph Mazitschek, Emma L. Kavanagh, Sinead Lindsay,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Amanda McCann, Kenneth C. Anderson, Peter O'Gorman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Giada Bianchi : </w:t>
      </w:r>
      <w:r>
        <w:rPr>
          <w:rFonts w:ascii="" w:hAnsi="" w:cs="" w:eastAsia=""/>
          <w:b w:val="false"/>
          <w:i w:val="false"/>
          <w:strike w:val="false"/>
          <w:color w:val="000000"/>
          <w:sz w:val="20"/>
          <w:u w:val="none"/>
        </w:rPr>
        <w:t xml:space="preserve">Targeting histone deacetylase 3 (HDAC3) in the bone marrow microenvironment inhibits multiple myeloma proliferation by modulating exosomes and IL-6 trans-signaling,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多発性骨髄腫におけるHDACアイソフォームの役割とその選択的阻害による治療法の開発, </w:t>
      </w:r>
      <w:r>
        <w:rPr>
          <w:rFonts w:ascii="" w:hAnsi="" w:cs="" w:eastAsia=""/>
          <w:b w:val="false"/>
          <w:i w:val="true"/>
          <w:strike w:val="false"/>
          <w:color w:val="000000"/>
          <w:sz w:val="20"/>
          <w:u w:val="none"/>
        </w:rPr>
        <w:t xml:space="preserve">第81回日本血液学会学術集会,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S244,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238-239,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4441,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753-760,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