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1516-1520,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696-699,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659-667,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1049-1053,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988-991,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924-929,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1243-1247,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