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e44,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Vol.5(7 suppl6),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ランニングのスポーツ障害の予防と対応,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腰部脊柱管狭窄症(recess):transforaminal full-endoscopic ventral facetectomy (TF-FEVF),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foraminoplasty for foraminal stenosis,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recess decompression (Ventral Facetectomy),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outcomes of acetabular reconstruction using Kerboull-type reinforcement device with bone graft., </w:t>
      </w:r>
      <w:r>
        <w:rPr>
          <w:rFonts w:ascii="" w:hAnsi="" w:cs="" w:eastAsia=""/>
          <w:b w:val="false"/>
          <w:i w:val="true"/>
          <w:strike w:val="false"/>
          <w:color w:val="000000"/>
          <w:sz w:val="20"/>
          <w:u w:val="none"/>
        </w:rPr>
        <w:t xml:space="preserve">EFFORT 2019,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251-256,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510-516,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弾発股,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Extracorporeal Shockwave Therapy to Accelerate Healing of Osteochondral Injury in a Pig Model, </w:t>
      </w:r>
      <w:r>
        <w:rPr>
          <w:rFonts w:ascii="" w:hAnsi="" w:cs="" w:eastAsia=""/>
          <w:b w:val="false"/>
          <w:i w:val="true"/>
          <w:strike w:val="false"/>
          <w:color w:val="000000"/>
          <w:sz w:val="20"/>
          <w:u w:val="none"/>
        </w:rPr>
        <w:t xml:space="preserve">24TH WORLD CONGRESS OF THE INTERNATIONAL SOCIETY FOR MEDICAL SHOCKWAVE TREATMENT, </w:t>
      </w:r>
      <w:r>
        <w:rPr>
          <w:rFonts w:ascii="" w:hAnsi="" w:cs="" w:eastAsia=""/>
          <w:b w:val="false"/>
          <w:i w:val="false"/>
          <w:strike w:val="false"/>
          <w:color w:val="000000"/>
          <w:sz w:val="20"/>
          <w:u w:val="none"/>
        </w:rPr>
        <w:t>Prsgue, The Czech Republic,WEB,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