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9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e00510,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485-494,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75-82,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 </w:t>
      </w:r>
      <w:r>
        <w:rPr>
          <w:rFonts w:ascii="" w:hAnsi="" w:cs="" w:eastAsia=""/>
          <w:b w:val="false"/>
          <w:i w:val="false"/>
          <w:strike w:val="false"/>
          <w:color w:val="000000"/>
          <w:sz w:val="20"/>
          <w:u w:val="none"/>
        </w:rPr>
        <w:t xml:space="preserve">リスペリドン持効性懸濁注射液が有効であった神経性無食欲症男児の症例,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471, 2017.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統合失調症におけるone-carbon metabolism 関連解析,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e1007049,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925-934,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111066, 2020.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6-10,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103565, 2021.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734606, 2021.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結理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w:t>
      </w:r>
      <w:r>
        <w:rPr>
          <w:rFonts w:ascii="" w:hAnsi="" w:cs="" w:eastAsia=""/>
          <w:b w:val="true"/>
          <w:i w:val="false"/>
          <w:strike w:val="false"/>
          <w:color w:val="000000"/>
          <w:sz w:val="20"/>
          <w:u w:val="single"/>
        </w:rPr>
        <w:t>Tarishi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尾崎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井崎 ゆみ子 : </w:t>
      </w:r>
      <w:r>
        <w:rPr>
          <w:rFonts w:ascii="" w:hAnsi="" w:cs="" w:eastAsia=""/>
          <w:b w:val="false"/>
          <w:i w:val="false"/>
          <w:strike w:val="false"/>
          <w:color w:val="000000"/>
          <w:sz w:val="20"/>
          <w:u w:val="none"/>
        </w:rPr>
        <w:t xml:space="preserve">徳島大学新型コロナワクチン拠点接種における当センターの役割．, </w:t>
      </w:r>
      <w:r>
        <w:rPr>
          <w:rFonts w:ascii="" w:hAnsi="" w:cs="" w:eastAsia=""/>
          <w:b w:val="false"/>
          <w:i w:val="true"/>
          <w:strike w:val="false"/>
          <w:color w:val="000000"/>
          <w:sz w:val="20"/>
          <w:u w:val="none"/>
        </w:rPr>
        <w:t xml:space="preserve">第52回中国四国大学保健管理研究集会,島根.,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13"/>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うつ病における抗うつ薬の治療反応性と末梢血のDNAメチル化率の変化との関連,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