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《一般口演》乳癌治療経過中に発見された肺腫瘤の診断,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